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/>
        <w:jc w:val="center"/>
        <w:textAlignment w:val="baseline"/>
        <w:rPr>
          <w:rFonts w:eastAsia="Times New Roman" w:cs="Calibri" w:cstheme="minorHAnsi"/>
          <w:b/>
          <w:b/>
          <w:bCs/>
          <w:color w:val="444444"/>
          <w:sz w:val="24"/>
          <w:szCs w:val="24"/>
          <w:u w:val="single"/>
          <w:lang w:eastAsia="cs-CZ"/>
        </w:rPr>
      </w:pPr>
      <w:r>
        <w:rPr>
          <w:rFonts w:eastAsia="Times New Roman" w:cs="Calibri" w:cstheme="minorHAnsi"/>
          <w:b/>
          <w:bCs/>
          <w:color w:val="444444"/>
          <w:sz w:val="24"/>
          <w:szCs w:val="24"/>
          <w:u w:val="single"/>
          <w:lang w:eastAsia="cs-CZ"/>
        </w:rPr>
        <w:t>PRACOVNÍ LIST Č.11</w:t>
      </w:r>
    </w:p>
    <w:p>
      <w:pPr>
        <w:pStyle w:val="Normal"/>
        <w:shd w:val="clear" w:color="auto" w:fill="FFFFFF"/>
        <w:spacing w:lineRule="auto" w:line="240"/>
        <w:jc w:val="center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PANDEMIE ČASŮ MINULÝCH</w:t>
      </w:r>
    </w:p>
    <w:p>
      <w:pPr>
        <w:pStyle w:val="Normal"/>
        <w:shd w:val="clear" w:color="auto" w:fill="FFFFFF"/>
        <w:spacing w:lineRule="auto" w:line="240"/>
        <w:jc w:val="center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(text s 8mi chybami)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Kdyby v polovině 14. století existovala antibiotika, nemuselo by během následujících několika století zemřít sto milionů lidí. Takovou účtenku vystavily Evropě morové epidemie, které dnes připomínají morové sloupy a špitály, kostnice, zámecké expozice a další památky. Odhaduje se, že nejzhoubnější nemoc v historii zdecimovala mezi 14. až 18. stoletím třetinu až polovinu Evropanů.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Do Evropy mor přicestoval s karavanami po hedvábné ztezce. Traduje se, že když tatarská armáda nakažená morem obléhala krymský přístav Kaffa, dnešní Feodosii, poprvé použila biologické zbraně: mrtvoly nakažených spolubojovníků totiž Tataři katapultem vrhali přes hradby do města.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Od Černého moře pak mor přivezla do Itálie janovská obchodní flotila, která na podzim v roce 1347 přistála na Sicílii. Mor se začal rychle šířit především kolem velkých obchodních center a cest, už na přelomu let 1347/1348 se oběvil v Janově, Benátkách a dalších velkých přístavních městech ve Středomoří.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Nejdříve jižní Moravu a vzápětí Čechy zasáhl mor v letech 1349 a 1350 jen lehce, další epidemie ale přišly vzápětí a ty už měly desítky tisíc obětí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Podle církve byl mor božím trestem za hříchy lidstva, ale vinníci se hledali všude, od postavení planet přes Židy až po čarodějnice. Dnes už víme, že pomohla teprve péče o hygienu a čistotu městských ulic, ale tehdy lidé hledali spásu ve vykuřování pelyňkem, jalovcem, kadidlem nebo sírou, rozhánění špatného vzduchu zvoněním kostelních zvonů nebo střelbou z děl, případně stavěním morových sloupů.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  <w:t>Poslední morové epidemie Evropu zasáhly na počátku 18. století, v českých zemích se mor naposled objevil roku 1716.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 xml:space="preserve">Onemocnění má tři formy: </w:t>
      </w:r>
      <w:hyperlink r:id="rId2" w:tgtFrame="Dýmějový mor">
        <w:r>
          <w:rPr>
            <w:rStyle w:val="Internetovodkaz"/>
            <w:rFonts w:eastAsia="Times New Roman" w:cs="Calibri" w:cstheme="minorHAnsi"/>
            <w:i/>
            <w:iCs/>
            <w:sz w:val="24"/>
            <w:szCs w:val="24"/>
            <w:lang w:eastAsia="cs-CZ"/>
          </w:rPr>
          <w:t>dýmějový mor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 xml:space="preserve"> (bubonická forma), </w:t>
      </w:r>
      <w:hyperlink r:id="rId3" w:tgtFrame="Septický mor">
        <w:r>
          <w:rPr>
            <w:rStyle w:val="Internetovodkaz"/>
            <w:rFonts w:eastAsia="Times New Roman" w:cs="Calibri" w:cstheme="minorHAnsi"/>
            <w:i/>
            <w:iCs/>
            <w:sz w:val="24"/>
            <w:szCs w:val="24"/>
            <w:lang w:eastAsia="cs-CZ"/>
          </w:rPr>
          <w:t>septický mor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 xml:space="preserve"> a </w:t>
      </w:r>
      <w:hyperlink r:id="rId4" w:tgtFrame="Plicní mor">
        <w:r>
          <w:rPr>
            <w:rStyle w:val="Internetovodkaz"/>
            <w:rFonts w:eastAsia="Times New Roman" w:cs="Calibri" w:cstheme="minorHAnsi"/>
            <w:i/>
            <w:iCs/>
            <w:sz w:val="24"/>
            <w:szCs w:val="24"/>
            <w:lang w:eastAsia="cs-CZ"/>
          </w:rPr>
          <w:t>plicní mor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(pneumonická forma)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>Forma </w:t>
      </w: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bubonická</w:t>
      </w:r>
      <w:r>
        <w:rPr>
          <w:rFonts w:eastAsia="Times New Roman" w:cs="Calibri" w:cstheme="minorHAnsi"/>
          <w:sz w:val="24"/>
          <w:szCs w:val="24"/>
          <w:lang w:eastAsia="cs-CZ"/>
        </w:rPr>
        <w:t> je na člověka přenášena </w:t>
      </w:r>
      <w:hyperlink r:id="rId5" w:tgtFrame="Blechy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blechami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 xml:space="preserve"> které se infikovaly na nakaženém </w:t>
      </w:r>
      <w:hyperlink r:id="rId6" w:tgtFrame="Hlodavci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hlodavci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(hlavně na </w:t>
      </w:r>
      <w:hyperlink r:id="rId7" w:tgtFrame="Krys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kryse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, která však příznaky netrpí: nemoc svého přenašeče nehubý). Po kousnutí infikovanou blechou dochází ke zhnědnutí kousance, poté se oběví boule v oblasti </w:t>
      </w:r>
      <w:hyperlink r:id="rId8" w:tgtFrame="Mízní uzlin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mízních uzlin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>Forma </w:t>
      </w:r>
      <w:r>
        <w:rPr>
          <w:rFonts w:eastAsia="Times New Roman" w:cs="Calibri" w:cstheme="minorHAnsi"/>
          <w:b/>
          <w:bCs/>
          <w:sz w:val="24"/>
          <w:szCs w:val="24"/>
          <w:lang w:eastAsia="cs-CZ"/>
        </w:rPr>
        <w:t>plicní</w:t>
      </w:r>
      <w:r>
        <w:rPr>
          <w:rFonts w:eastAsia="Times New Roman" w:cs="Calibri" w:cstheme="minorHAnsi"/>
          <w:sz w:val="24"/>
          <w:szCs w:val="24"/>
          <w:lang w:eastAsia="cs-CZ"/>
        </w:rPr>
        <w:t> se přenáší </w:t>
      </w:r>
      <w:hyperlink r:id="rId9" w:tgtFrame="Kapénková infekce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kapénkovou infekcí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z člověka na člověka a je mnohem nebezpečnější. Působí velice rychle a neléčena má velice vysokou </w:t>
      </w:r>
      <w:hyperlink r:id="rId10" w:tgtFrame="Úmrtnost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úmrtnost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(až přes 90 %).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>Po krátké </w:t>
      </w:r>
      <w:hyperlink r:id="rId11" w:tgtFrame="Inkubační dob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inkubační době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dochází k prudkému </w:t>
      </w:r>
      <w:hyperlink r:id="rId12" w:tgtFrame="Horečk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zvýšení teploty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 xml:space="preserve"> doprovázenému </w:t>
      </w:r>
      <w:hyperlink r:id="rId13" w:tgtFrame="Třesavka (stránka neexistuje)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třesavkou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, </w:t>
      </w:r>
      <w:hyperlink r:id="rId14" w:tgtFrame="Bolest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bolestmi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v </w:t>
      </w:r>
      <w:hyperlink r:id="rId15" w:tgtFrame="Klouby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kloubech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a </w:t>
      </w:r>
      <w:hyperlink r:id="rId16" w:tgtFrame="Únav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únavou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>Pro bubonickou formu je charakteristický hnisaví zánět mízních uzlin, hlavně v </w:t>
      </w:r>
      <w:hyperlink r:id="rId17" w:tgtFrame="Třísla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tříslech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a </w:t>
      </w:r>
      <w:hyperlink r:id="rId18" w:tgtFrame="Podpaží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podpaží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 Časem dochází k prasknutí hnisavých ložisek, což může způsobit celkovou </w:t>
      </w:r>
      <w:hyperlink r:id="rId19" w:tgtFrame="Sepse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sepsi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</w:t>
      </w:r>
    </w:p>
    <w:p>
      <w:pPr>
        <w:pStyle w:val="Normal"/>
        <w:shd w:val="clear" w:color="auto" w:fill="FFFFFF"/>
        <w:spacing w:lineRule="auto" w:line="240" w:before="120" w:after="120"/>
        <w:rPr/>
      </w:pPr>
      <w:r>
        <w:rPr>
          <w:rFonts w:eastAsia="Times New Roman" w:cs="Calibri" w:cstheme="minorHAnsi"/>
          <w:sz w:val="24"/>
          <w:szCs w:val="24"/>
          <w:lang w:eastAsia="cs-CZ"/>
        </w:rPr>
        <w:t>Plicní forma probíhá jako těžký </w:t>
      </w:r>
      <w:hyperlink r:id="rId20" w:tgtFrame="Zápal plic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zápal plic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s velmi vysokou </w:t>
      </w:r>
      <w:hyperlink r:id="rId21" w:tgtFrame="Úmrtnost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úmrtností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 Při neléčené bubonické formě je </w:t>
      </w:r>
      <w:hyperlink r:id="rId22" w:tgtFrame="Smrtnost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smrtnost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kolem 60 %, při léčbě </w:t>
      </w:r>
      <w:hyperlink r:id="rId23" w:tgtFrame="Antibiotikum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antibiotiky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významě klesá. Z antibiotik jsou účinné </w:t>
      </w:r>
      <w:hyperlink r:id="rId24" w:tgtFrame="Chloramfenikol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chloramfenikol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, </w:t>
      </w:r>
      <w:hyperlink r:id="rId25" w:tgtFrame="Aminoglykosidy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aminoglykosidy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 a </w:t>
      </w:r>
      <w:hyperlink r:id="rId26" w:tgtFrame="Chinolony (stránka neexistuje)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chinolony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 V místech výskytu je též dostupné preventivní </w:t>
      </w:r>
      <w:hyperlink r:id="rId27" w:tgtFrame="Očkování">
        <w:r>
          <w:rPr>
            <w:rStyle w:val="Internetovodkaz"/>
            <w:rFonts w:eastAsia="Times New Roman" w:cs="Calibri" w:cstheme="minorHAnsi"/>
            <w:sz w:val="24"/>
            <w:szCs w:val="24"/>
            <w:lang w:eastAsia="cs-CZ"/>
          </w:rPr>
          <w:t>očkování</w:t>
        </w:r>
      </w:hyperlink>
      <w:r>
        <w:rPr>
          <w:rFonts w:eastAsia="Times New Roman" w:cs="Calibri" w:cstheme="minorHAnsi"/>
          <w:sz w:val="24"/>
          <w:szCs w:val="24"/>
          <w:lang w:eastAsia="cs-CZ"/>
        </w:rPr>
        <w:t>.</w:t>
      </w:r>
    </w:p>
    <w:p>
      <w:pPr>
        <w:pStyle w:val="Normal"/>
        <w:spacing w:lineRule="auto" w:line="240" w:before="0" w:after="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</w:r>
    </w:p>
    <w:p>
      <w:pPr>
        <w:pStyle w:val="Normal"/>
        <w:shd w:val="clear" w:color="auto" w:fill="FFFFFF"/>
        <w:spacing w:lineRule="atLeast" w:line="390"/>
        <w:textAlignment w:val="baseline"/>
        <w:rPr>
          <w:rFonts w:eastAsia="Times New Roman" w:cs="Calibri" w:cstheme="minorHAnsi"/>
          <w:color w:val="444444"/>
          <w:sz w:val="24"/>
          <w:szCs w:val="24"/>
          <w:lang w:eastAsia="cs-CZ"/>
        </w:rPr>
      </w:pPr>
      <w:r>
        <w:rPr>
          <w:rFonts w:eastAsia="Times New Roman" w:cs="Calibri" w:cstheme="minorHAnsi"/>
          <w:color w:val="444444"/>
          <w:sz w:val="24"/>
          <w:szCs w:val="24"/>
          <w:lang w:eastAsia="cs-CZ"/>
        </w:rPr>
      </w:r>
    </w:p>
    <w:p>
      <w:pPr>
        <w:pStyle w:val="Normal"/>
        <w:rPr>
          <w:rFonts w:cs="Calibri" w:cstheme="minorHAnsi"/>
          <w:sz w:val="24"/>
          <w:szCs w:val="24"/>
          <w:vertAlign w:val="subscript"/>
        </w:rPr>
      </w:pPr>
      <w:r>
        <w:rPr>
          <w:rFonts w:cs="Calibri" w:cstheme="minorHAnsi"/>
          <w:sz w:val="24"/>
          <w:szCs w:val="24"/>
          <w:vertAlign w:val="subscript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d57e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iki/D&#253;m&#283;jov&#253;_mor" TargetMode="External"/><Relationship Id="rId3" Type="http://schemas.openxmlformats.org/officeDocument/2006/relationships/hyperlink" Target="https://cs.wikipedia.org/wiki/Septick&#253;_mor" TargetMode="External"/><Relationship Id="rId4" Type="http://schemas.openxmlformats.org/officeDocument/2006/relationships/hyperlink" Target="https://cs.wikipedia.org/wiki/Plicn&#237;_mor" TargetMode="External"/><Relationship Id="rId5" Type="http://schemas.openxmlformats.org/officeDocument/2006/relationships/hyperlink" Target="https://cs.wikipedia.org/wiki/Blechy" TargetMode="External"/><Relationship Id="rId6" Type="http://schemas.openxmlformats.org/officeDocument/2006/relationships/hyperlink" Target="https://cs.wikipedia.org/wiki/Hlodavci" TargetMode="External"/><Relationship Id="rId7" Type="http://schemas.openxmlformats.org/officeDocument/2006/relationships/hyperlink" Target="https://cs.wikipedia.org/wiki/Krysa" TargetMode="External"/><Relationship Id="rId8" Type="http://schemas.openxmlformats.org/officeDocument/2006/relationships/hyperlink" Target="https://cs.wikipedia.org/wiki/M&#237;zn&#237;_uzlina" TargetMode="External"/><Relationship Id="rId9" Type="http://schemas.openxmlformats.org/officeDocument/2006/relationships/hyperlink" Target="https://cs.wikipedia.org/wiki/Kap&#233;nkov&#225;_infekce" TargetMode="External"/><Relationship Id="rId10" Type="http://schemas.openxmlformats.org/officeDocument/2006/relationships/hyperlink" Target="https://cs.wikipedia.org/wiki/&#218;mrtnost" TargetMode="External"/><Relationship Id="rId11" Type="http://schemas.openxmlformats.org/officeDocument/2006/relationships/hyperlink" Target="https://cs.wikipedia.org/wiki/Inkuba&#269;n&#237;_doba" TargetMode="External"/><Relationship Id="rId12" Type="http://schemas.openxmlformats.org/officeDocument/2006/relationships/hyperlink" Target="https://cs.wikipedia.org/wiki/Hore&#269;ka" TargetMode="External"/><Relationship Id="rId13" Type="http://schemas.openxmlformats.org/officeDocument/2006/relationships/hyperlink" Target="https://cs.wikipedia.org/w/index.php?title=T&#345;esavka&amp;action=edit&amp;redlink=1" TargetMode="External"/><Relationship Id="rId14" Type="http://schemas.openxmlformats.org/officeDocument/2006/relationships/hyperlink" Target="https://cs.wikipedia.org/wiki/Bolest" TargetMode="External"/><Relationship Id="rId15" Type="http://schemas.openxmlformats.org/officeDocument/2006/relationships/hyperlink" Target="https://cs.wikipedia.org/wiki/Klouby" TargetMode="External"/><Relationship Id="rId16" Type="http://schemas.openxmlformats.org/officeDocument/2006/relationships/hyperlink" Target="https://cs.wikipedia.org/wiki/&#218;nava" TargetMode="External"/><Relationship Id="rId17" Type="http://schemas.openxmlformats.org/officeDocument/2006/relationships/hyperlink" Target="https://cs.wikipedia.org/wiki/T&#345;&#237;sla" TargetMode="External"/><Relationship Id="rId18" Type="http://schemas.openxmlformats.org/officeDocument/2006/relationships/hyperlink" Target="https://cs.wikipedia.org/wiki/Podpa&#382;&#237;" TargetMode="External"/><Relationship Id="rId19" Type="http://schemas.openxmlformats.org/officeDocument/2006/relationships/hyperlink" Target="https://cs.wikipedia.org/wiki/Sepse" TargetMode="External"/><Relationship Id="rId20" Type="http://schemas.openxmlformats.org/officeDocument/2006/relationships/hyperlink" Target="https://cs.wikipedia.org/wiki/Z&#225;pal_plic" TargetMode="External"/><Relationship Id="rId21" Type="http://schemas.openxmlformats.org/officeDocument/2006/relationships/hyperlink" Target="https://cs.wikipedia.org/wiki/&#218;mrtnost" TargetMode="External"/><Relationship Id="rId22" Type="http://schemas.openxmlformats.org/officeDocument/2006/relationships/hyperlink" Target="https://cs.wikipedia.org/wiki/Smrtnost" TargetMode="External"/><Relationship Id="rId23" Type="http://schemas.openxmlformats.org/officeDocument/2006/relationships/hyperlink" Target="https://cs.wikipedia.org/wiki/Antibiotikum" TargetMode="External"/><Relationship Id="rId24" Type="http://schemas.openxmlformats.org/officeDocument/2006/relationships/hyperlink" Target="https://cs.wikipedia.org/wiki/Chloramfenikol" TargetMode="External"/><Relationship Id="rId25" Type="http://schemas.openxmlformats.org/officeDocument/2006/relationships/hyperlink" Target="https://cs.wikipedia.org/wiki/Aminoglykosidy" TargetMode="External"/><Relationship Id="rId26" Type="http://schemas.openxmlformats.org/officeDocument/2006/relationships/hyperlink" Target="https://cs.wikipedia.org/w/index.php?title=Chinolony&amp;action=edit&amp;redlink=1" TargetMode="External"/><Relationship Id="rId27" Type="http://schemas.openxmlformats.org/officeDocument/2006/relationships/hyperlink" Target="https://cs.wikipedia.org/wiki/O&#269;kov&#225;n&#237;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2</Pages>
  <Words>420</Words>
  <Characters>2398</Characters>
  <CharactersWithSpaces>2803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2020-03-24T17:42:00Z</dcterms:created>
  <dc:creator>Mičulková Andrea</dc:creator>
  <dc:description/>
  <dc:language>cs-CZ</dc:language>
  <cp:lastModifiedBy>Mičulková Andrea</cp:lastModifiedBy>
  <dcterms:modified xsi:type="dcterms:W3CDTF">2020-03-24T17:43:00Z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