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" w:hAnsi="Cambria" w:asciiTheme="majorHAnsi" w:hAnsiTheme="majorHAnsi"/>
          <w:b/>
          <w:b/>
          <w:bCs/>
          <w:sz w:val="24"/>
          <w:szCs w:val="24"/>
          <w:u w:val="double"/>
        </w:rPr>
      </w:pPr>
      <w:r>
        <w:rPr>
          <w:rFonts w:ascii="Cambria" w:hAnsi="Cambria" w:asciiTheme="majorHAnsi" w:hAnsiTheme="majorHAnsi"/>
          <w:b/>
          <w:bCs/>
          <w:sz w:val="24"/>
          <w:szCs w:val="24"/>
          <w:u w:val="double"/>
        </w:rPr>
        <w:t>Uran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radioaktivní kov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b/>
          <w:bCs/>
          <w:i/>
          <w:iCs/>
          <w:sz w:val="24"/>
          <w:szCs w:val="24"/>
        </w:rPr>
        <w:t>uranová ruda = uraninit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 xml:space="preserve">využití </w:t>
      </w:r>
      <w:r>
        <w:rPr>
          <w:rFonts w:ascii="Cambria" w:hAnsi="Cambria" w:asciiTheme="majorHAnsi" w:hAnsiTheme="majorHAnsi"/>
          <w:sz w:val="24"/>
          <w:szCs w:val="24"/>
        </w:rPr>
        <w:t xml:space="preserve">především jako </w:t>
      </w:r>
      <w:r>
        <w:rPr>
          <w:rFonts w:ascii="Cambria" w:hAnsi="Cambria" w:asciiTheme="majorHAnsi" w:hAnsiTheme="majorHAnsi"/>
          <w:b/>
          <w:bCs/>
          <w:sz w:val="24"/>
          <w:szCs w:val="24"/>
        </w:rPr>
        <w:t>jaderné palivo</w:t>
      </w:r>
      <w:r>
        <w:rPr>
          <w:rFonts w:ascii="Cambria" w:hAnsi="Cambria" w:asciiTheme="majorHAnsi" w:hAnsiTheme="majorHAnsi"/>
          <w:sz w:val="24"/>
          <w:szCs w:val="24"/>
        </w:rPr>
        <w:t xml:space="preserve"> (tzv. obohacený uran)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v ČR těžba</w:t>
      </w:r>
      <w:r>
        <w:rPr>
          <w:rFonts w:ascii="Cambria" w:hAnsi="Cambria" w:asciiTheme="majorHAnsi" w:hAnsiTheme="majorHAnsi"/>
          <w:sz w:val="24"/>
          <w:szCs w:val="24"/>
        </w:rPr>
        <w:t xml:space="preserve">: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Jáchymov</w:t>
      </w:r>
      <w:r>
        <w:rPr>
          <w:rFonts w:ascii="Cambria" w:hAnsi="Cambria" w:asciiTheme="majorHAnsi" w:hAnsiTheme="majorHAnsi"/>
          <w:sz w:val="24"/>
          <w:szCs w:val="24"/>
        </w:rPr>
        <w:t xml:space="preserve"> (dříve),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Dolní Rožínka u Bystřice nad Pernštejnem</w:t>
      </w:r>
    </w:p>
    <w:p>
      <w:pPr>
        <w:pStyle w:val="Normal"/>
        <w:spacing w:lineRule="auto" w:line="240"/>
        <w:ind w:left="1247" w:hanging="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ložiska</w:t>
      </w:r>
      <w:r>
        <w:rPr>
          <w:rFonts w:ascii="Cambria" w:hAnsi="Cambria" w:asciiTheme="majorHAnsi" w:hAnsiTheme="majorHAnsi"/>
          <w:sz w:val="24"/>
          <w:szCs w:val="24"/>
        </w:rPr>
        <w:t xml:space="preserve"> –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Jihlavsko</w:t>
      </w:r>
      <w:r>
        <w:rPr>
          <w:rFonts w:ascii="Cambria" w:hAnsi="Cambria" w:asciiTheme="majorHAnsi" w:hAnsiTheme="majorHAnsi"/>
          <w:sz w:val="24"/>
          <w:szCs w:val="24"/>
        </w:rPr>
        <w:t xml:space="preserve">,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Liberecko</w:t>
      </w:r>
    </w:p>
    <w:p>
      <w:pPr>
        <w:pStyle w:val="Normal"/>
        <w:spacing w:lineRule="auto" w:line="240"/>
        <w:ind w:left="1247" w:hanging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mbria" w:hAnsi="Cambria" w:asciiTheme="majorHAnsi" w:hAnsiTheme="majorHAnsi"/>
          <w:b/>
          <w:b/>
          <w:bCs/>
          <w:sz w:val="24"/>
          <w:szCs w:val="24"/>
          <w:u w:val="double"/>
        </w:rPr>
      </w:pPr>
      <w:r>
        <w:rPr>
          <w:rFonts w:ascii="Cambria" w:hAnsi="Cambria" w:asciiTheme="majorHAnsi" w:hAnsiTheme="majorHAnsi"/>
          <w:b/>
          <w:bCs/>
          <w:sz w:val="24"/>
          <w:szCs w:val="24"/>
          <w:u w:val="double"/>
        </w:rPr>
        <w:t>Průmyslově vyráběná paliva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b/>
          <w:sz w:val="24"/>
          <w:szCs w:val="24"/>
        </w:rPr>
        <w:t>benzin</w:t>
      </w:r>
      <w:r>
        <w:rPr>
          <w:rFonts w:ascii="Cambria" w:hAnsi="Cambria" w:asciiTheme="majorHAnsi" w:hAnsiTheme="majorHAnsi"/>
          <w:sz w:val="24"/>
          <w:szCs w:val="24"/>
        </w:rPr>
        <w:t xml:space="preserve"> =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směs kapalných uhlovodíků s 5 - 11 atomy uhlíku v řetězci</w:t>
      </w:r>
    </w:p>
    <w:p>
      <w:pPr>
        <w:pStyle w:val="Normal"/>
        <w:spacing w:lineRule="auto" w:line="240"/>
        <w:ind w:left="964" w:hanging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proměnlivé složení – přes 60%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alkany</w:t>
      </w:r>
      <w:r>
        <w:rPr>
          <w:rFonts w:ascii="Cambria" w:hAnsi="Cambria" w:asciiTheme="majorHAnsi" w:hAnsiTheme="majorHAnsi"/>
          <w:sz w:val="24"/>
          <w:szCs w:val="24"/>
        </w:rPr>
        <w:t xml:space="preserve">, dále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cykloalkany</w:t>
      </w:r>
      <w:r>
        <w:rPr>
          <w:rFonts w:ascii="Cambria" w:hAnsi="Cambria" w:asciiTheme="majorHAnsi" w:hAnsiTheme="majorHAnsi"/>
          <w:sz w:val="24"/>
          <w:szCs w:val="24"/>
        </w:rPr>
        <w:t xml:space="preserve"> a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areny</w:t>
      </w:r>
    </w:p>
    <w:p>
      <w:pPr>
        <w:pStyle w:val="Normal"/>
        <w:spacing w:lineRule="auto" w:line="240"/>
        <w:ind w:left="964" w:hanging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hořlavý</w:t>
      </w:r>
      <w:r>
        <w:rPr>
          <w:rFonts w:ascii="Cambria" w:hAnsi="Cambria" w:asciiTheme="majorHAnsi" w:hAnsiTheme="majorHAnsi"/>
          <w:sz w:val="24"/>
          <w:szCs w:val="24"/>
        </w:rPr>
        <w:t xml:space="preserve">, 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zdraví škodlivý</w:t>
      </w:r>
    </w:p>
    <w:p>
      <w:pPr>
        <w:pStyle w:val="Normal"/>
        <w:spacing w:lineRule="auto" w:line="240"/>
        <w:ind w:left="964" w:hanging="0"/>
        <w:rPr>
          <w:rFonts w:ascii="Cambria" w:hAnsi="Cambria" w:cs="Calibri" w:asciiTheme="majorHAnsi" w:cstheme="minorHAnsi" w:hAnsiTheme="majorHAnsi"/>
          <w:b/>
          <w:b/>
          <w:bCs/>
          <w:i/>
          <w:i/>
          <w:iCs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výroba</w:t>
      </w:r>
      <w:r>
        <w:rPr>
          <w:rFonts w:ascii="Cambria" w:hAnsi="Cambria" w:asciiTheme="majorHAnsi" w:hAnsiTheme="majorHAnsi"/>
          <w:sz w:val="24"/>
          <w:szCs w:val="24"/>
        </w:rPr>
        <w:t xml:space="preserve">: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• </w:t>
      </w:r>
      <w:r>
        <w:rPr>
          <w:rFonts w:cs="Calibri" w:ascii="Cambria" w:hAnsi="Cambria" w:asciiTheme="majorHAnsi" w:cstheme="minorHAnsi" w:hAnsiTheme="majorHAnsi"/>
          <w:b/>
          <w:bCs/>
          <w:i/>
          <w:iCs/>
          <w:sz w:val="24"/>
          <w:szCs w:val="24"/>
        </w:rPr>
        <w:t>frakční destilací ropy</w:t>
      </w:r>
    </w:p>
    <w:p>
      <w:pPr>
        <w:pStyle w:val="Normal"/>
        <w:spacing w:lineRule="auto" w:line="240"/>
        <w:ind w:left="1758" w:hanging="0"/>
        <w:rPr>
          <w:rFonts w:ascii="Cambria" w:hAnsi="Cambria" w:cs="Calibri" w:asciiTheme="majorHAnsi" w:cstheme="minorHAnsi" w:hAnsiTheme="majorHAnsi"/>
          <w:b/>
          <w:b/>
          <w:bCs/>
          <w:i/>
          <w:i/>
          <w:iCs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b/>
          <w:bCs/>
          <w:i/>
          <w:iCs/>
          <w:sz w:val="24"/>
          <w:szCs w:val="24"/>
        </w:rPr>
        <w:t xml:space="preserve">   • </w:t>
      </w:r>
      <w:r>
        <w:rPr>
          <w:rFonts w:cs="Calibri" w:ascii="Cambria" w:hAnsi="Cambria" w:asciiTheme="majorHAnsi" w:cstheme="minorHAnsi" w:hAnsiTheme="majorHAnsi"/>
          <w:b/>
          <w:bCs/>
          <w:i/>
          <w:iCs/>
          <w:sz w:val="24"/>
          <w:szCs w:val="24"/>
        </w:rPr>
        <w:t xml:space="preserve">krakováním </w:t>
      </w:r>
    </w:p>
    <w:p>
      <w:pPr>
        <w:pStyle w:val="Normal"/>
        <w:spacing w:lineRule="auto" w:line="240"/>
        <w:ind w:left="964" w:hanging="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jeho kvalita se hodnotí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oktanovým číslem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oktanové číslo</w:t>
      </w:r>
      <w:r>
        <w:rPr>
          <w:rFonts w:ascii="Cambria" w:hAnsi="Cambria" w:asciiTheme="majorHAnsi" w:hAnsiTheme="majorHAnsi"/>
          <w:sz w:val="24"/>
          <w:szCs w:val="24"/>
        </w:rPr>
        <w:t xml:space="preserve"> = bezrozměrné číslo</w:t>
      </w:r>
    </w:p>
    <w:p>
      <w:pPr>
        <w:pStyle w:val="Normal"/>
        <w:spacing w:lineRule="auto" w:line="240"/>
        <w:ind w:left="1701" w:hanging="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- vyjadřuje vliv složení paliva na detonace („klepání“) motoru a zmenšování jeho výkonu</w:t>
      </w:r>
    </w:p>
    <w:p>
      <w:pPr>
        <w:pStyle w:val="Normal"/>
        <w:spacing w:lineRule="auto" w:line="240"/>
        <w:ind w:left="1701" w:hanging="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čím je větší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ascii="Cambria" w:hAnsi="Cambria" w:asciiTheme="majorHAnsi" w:hAnsiTheme="majorHAnsi"/>
          <w:sz w:val="24"/>
          <w:szCs w:val="24"/>
        </w:rPr>
        <w:t xml:space="preserve"> kvalitnější benzin</w:t>
      </w:r>
    </w:p>
    <w:p>
      <w:pPr>
        <w:pStyle w:val="Normal"/>
        <w:spacing w:lineRule="auto" w:line="240"/>
        <w:ind w:left="1701" w:hanging="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lze zvyšovat změnou složení benzinu: </w:t>
      </w:r>
    </w:p>
    <w:p>
      <w:pPr>
        <w:pStyle w:val="Normal"/>
        <w:spacing w:lineRule="auto" w:line="240"/>
        <w:ind w:left="1984" w:hanging="170"/>
        <w:jc w:val="both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• 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>reformováním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= z uhlovodíků s nerozvětvenými nebo málo rozvětvenými řetězci vznikají za přítomnosti katalyzátoru uhlovodíky s rozvětvenými řetězci</w:t>
      </w:r>
    </w:p>
    <w:p>
      <w:pPr>
        <w:pStyle w:val="Normal"/>
        <w:spacing w:lineRule="auto" w:line="240"/>
        <w:ind w:left="1984" w:hanging="170"/>
        <w:jc w:val="both"/>
        <w:rPr>
          <w:rFonts w:ascii="Cambria" w:hAnsi="Cambria" w:cs="Calibri" w:asciiTheme="majorHAnsi" w:cstheme="minorHAnsi" w:hAnsiTheme="majorHAnsi"/>
          <w:sz w:val="24"/>
          <w:szCs w:val="24"/>
          <w:u w:val="single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• 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>přídavkem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tetraethylolova – jedovatá organická sloučenina Pb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jedovaté výfukové plyny – </w:t>
      </w:r>
      <w:r>
        <w:rPr>
          <w:rFonts w:cs="Calibri" w:ascii="Cambria" w:hAnsi="Cambria" w:asciiTheme="majorHAnsi" w:cstheme="minorHAnsi" w:hAnsiTheme="majorHAnsi"/>
          <w:sz w:val="24"/>
          <w:szCs w:val="24"/>
          <w:u w:val="single"/>
        </w:rPr>
        <w:t>dnes zákaz</w:t>
      </w:r>
    </w:p>
    <w:p>
      <w:pPr>
        <w:pStyle w:val="Normal"/>
        <w:spacing w:lineRule="auto" w:line="240"/>
        <w:jc w:val="both"/>
        <w:rPr>
          <w:rFonts w:ascii="Cambria" w:hAnsi="Cambria" w:cs="Calibri" w:asciiTheme="majorHAnsi" w:cstheme="minorHAnsi" w:hAnsiTheme="majorHAnsi"/>
          <w:bCs/>
          <w:iCs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jako antidetonátory se užívají – např. 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>organické sloučeniny Mn</w:t>
      </w:r>
    </w:p>
    <w:p>
      <w:pPr>
        <w:pStyle w:val="Normal"/>
        <w:spacing w:lineRule="auto" w:line="240"/>
        <w:jc w:val="both"/>
        <w:rPr>
          <w:rFonts w:ascii="Cambria" w:hAnsi="Cambria" w:cs="Calibri" w:asciiTheme="majorHAnsi" w:cstheme="minorHAnsi" w:hAnsiTheme="majorHAnsi"/>
          <w:bCs/>
          <w:iCs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bCs/>
          <w:iCs/>
          <w:sz w:val="24"/>
          <w:szCs w:val="24"/>
        </w:rPr>
        <w:t xml:space="preserve">- </w:t>
      </w:r>
      <w:r>
        <w:rPr>
          <w:rFonts w:cs="Calibri" w:ascii="Cambria" w:hAnsi="Cambria" w:asciiTheme="majorHAnsi" w:cstheme="minorHAnsi" w:hAnsiTheme="majorHAnsi"/>
          <w:b/>
          <w:iCs/>
          <w:sz w:val="24"/>
          <w:szCs w:val="24"/>
        </w:rPr>
        <w:t>motorová nafta</w:t>
      </w:r>
      <w:r>
        <w:rPr>
          <w:rFonts w:cs="Calibri" w:ascii="Cambria" w:hAnsi="Cambria" w:asciiTheme="majorHAnsi" w:cstheme="minorHAnsi" w:hAnsiTheme="majorHAnsi"/>
          <w:bCs/>
          <w:iCs/>
          <w:sz w:val="24"/>
          <w:szCs w:val="24"/>
        </w:rPr>
        <w:t xml:space="preserve"> – </w:t>
      </w:r>
      <w:r>
        <w:rPr>
          <w:rFonts w:cs="Calibri" w:ascii="Cambria" w:hAnsi="Cambria" w:asciiTheme="majorHAnsi" w:cstheme="minorHAnsi" w:hAnsiTheme="majorHAnsi"/>
          <w:bCs/>
          <w:iCs/>
          <w:sz w:val="24"/>
          <w:szCs w:val="24"/>
          <w:u w:val="single"/>
        </w:rPr>
        <w:t>směs uhlovodíků s 12 – 22 atomy uhlíku v řetězci</w:t>
      </w:r>
    </w:p>
    <w:p>
      <w:pPr>
        <w:pStyle w:val="Normal"/>
        <w:spacing w:lineRule="auto" w:line="240"/>
        <w:ind w:left="1928" w:hanging="0"/>
        <w:jc w:val="both"/>
        <w:rPr>
          <w:rFonts w:ascii="Cambria" w:hAnsi="Cambria" w:cs="Calibri" w:asciiTheme="majorHAnsi" w:cstheme="minorHAnsi" w:hAnsiTheme="majorHAnsi"/>
          <w:bCs/>
          <w:iCs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bCs/>
          <w:iCs/>
          <w:sz w:val="24"/>
          <w:szCs w:val="24"/>
        </w:rPr>
        <w:t xml:space="preserve">- </w:t>
      </w:r>
      <w:r>
        <w:rPr>
          <w:rFonts w:cs="Calibri" w:ascii="Cambria" w:hAnsi="Cambria" w:asciiTheme="majorHAnsi" w:cstheme="minorHAnsi" w:hAnsiTheme="majorHAnsi"/>
          <w:bCs/>
          <w:iCs/>
          <w:sz w:val="24"/>
          <w:szCs w:val="24"/>
          <w:u w:val="single"/>
        </w:rPr>
        <w:t>zdraví škodlivá</w:t>
      </w:r>
    </w:p>
    <w:p>
      <w:pPr>
        <w:pStyle w:val="Normal"/>
        <w:spacing w:lineRule="auto" w:line="240"/>
        <w:ind w:left="1928" w:hanging="0"/>
        <w:jc w:val="both"/>
        <w:rPr>
          <w:rFonts w:ascii="Cambria" w:hAnsi="Cambria" w:cs="Calibri" w:asciiTheme="majorHAnsi" w:cstheme="minorHAnsi" w:hAnsiTheme="majorHAnsi"/>
          <w:bCs/>
          <w:iCs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bCs/>
          <w:iCs/>
          <w:sz w:val="24"/>
          <w:szCs w:val="24"/>
        </w:rPr>
        <w:t>- na čerpacích stanicích – označení „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>diesel</w:t>
      </w:r>
      <w:r>
        <w:rPr>
          <w:rFonts w:cs="Calibri" w:ascii="Cambria" w:hAnsi="Cambria" w:asciiTheme="majorHAnsi" w:cstheme="minorHAnsi" w:hAnsiTheme="majorHAnsi"/>
          <w:bCs/>
          <w:iCs/>
          <w:sz w:val="24"/>
          <w:szCs w:val="24"/>
        </w:rPr>
        <w:t>“</w:t>
      </w:r>
    </w:p>
    <w:p>
      <w:pPr>
        <w:pStyle w:val="Normal"/>
        <w:spacing w:lineRule="auto" w:line="240"/>
        <w:jc w:val="both"/>
        <w:rPr>
          <w:rFonts w:ascii="Cambria" w:hAnsi="Cambria" w:cs="Calibri" w:asciiTheme="majorHAnsi" w:cstheme="minorHAnsi" w:hAnsiTheme="majorHAnsi"/>
          <w:b/>
          <w:b/>
          <w:i/>
          <w:i/>
          <w:sz w:val="24"/>
          <w:szCs w:val="24"/>
        </w:rPr>
      </w:pPr>
      <w:r>
        <w:rPr>
          <w:rFonts w:cs="Calibri" w:cstheme="minorHAnsi" w:ascii="Cambria" w:hAnsi="Cambria"/>
          <w:b/>
          <w:i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b/>
          <w:sz w:val="24"/>
          <w:szCs w:val="24"/>
          <w:u w:val="single"/>
        </w:rPr>
        <w:t>Katalyzátory výfukových plynů</w:t>
      </w:r>
      <w:r>
        <w:rPr>
          <w:rFonts w:cs="Calibri" w:ascii="Cambria" w:hAnsi="Cambria" w:asciiTheme="majorHAnsi" w:cstheme="minorHAnsi" w:hAnsiTheme="majorHAnsi"/>
          <w:b/>
          <w:sz w:val="24"/>
          <w:szCs w:val="24"/>
        </w:rPr>
        <w:t xml:space="preserve">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- zařízení snižující množství zplodin výfukových plynů</w:t>
      </w:r>
    </w:p>
    <w:p>
      <w:pPr>
        <w:pStyle w:val="Normal"/>
        <w:spacing w:lineRule="auto" w:line="240"/>
        <w:ind w:left="170" w:hanging="170"/>
        <w:jc w:val="both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>- válce naplněné keramickým/ocelovým nosičem s velkým povrchem – na něm nanesena tenká vrstva Pt či Rh</w:t>
      </w:r>
    </w:p>
    <w:p>
      <w:pPr>
        <w:pStyle w:val="Normal"/>
        <w:spacing w:lineRule="auto" w:line="240"/>
        <w:ind w:left="170" w:hanging="170"/>
        <w:jc w:val="both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>- na povrchu kovů dochází k přeměně jedovatých látek na méně škodlivé produkty (CO</w:t>
      </w:r>
      <w:r>
        <w:rPr>
          <w:rFonts w:cs="Calibri" w:ascii="Cambria" w:hAnsi="Cambria" w:asciiTheme="majorHAnsi" w:cstheme="minorHAnsi" w:hAnsiTheme="majorHAnsi"/>
          <w:sz w:val="24"/>
          <w:szCs w:val="24"/>
          <w:vertAlign w:val="subscript"/>
        </w:rPr>
        <w:t>2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, H</w:t>
      </w:r>
      <w:r>
        <w:rPr>
          <w:rFonts w:cs="Calibri" w:ascii="Cambria" w:hAnsi="Cambria" w:asciiTheme="majorHAnsi" w:cstheme="minorHAnsi" w:hAnsiTheme="majorHAnsi"/>
          <w:sz w:val="24"/>
          <w:szCs w:val="24"/>
          <w:vertAlign w:val="subscript"/>
        </w:rPr>
        <w:t>2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O, N</w:t>
      </w:r>
      <w:r>
        <w:rPr>
          <w:rFonts w:cs="Calibri" w:ascii="Cambria" w:hAnsi="Cambria" w:asciiTheme="majorHAnsi" w:cstheme="minorHAnsi" w:hAnsiTheme="majorHAnsi"/>
          <w:sz w:val="24"/>
          <w:szCs w:val="24"/>
          <w:vertAlign w:val="subscript"/>
        </w:rPr>
        <w:t>2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, O</w:t>
      </w:r>
      <w:r>
        <w:rPr>
          <w:rFonts w:cs="Calibri" w:ascii="Cambria" w:hAnsi="Cambria" w:asciiTheme="majorHAnsi" w:cstheme="minorHAnsi" w:hAnsiTheme="majorHAnsi"/>
          <w:sz w:val="24"/>
          <w:szCs w:val="24"/>
          <w:vertAlign w:val="subscript"/>
        </w:rPr>
        <w:t>2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                              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Pt</w:t>
      </w:r>
    </w:p>
    <w:p>
      <w:pPr>
        <w:pStyle w:val="Normal"/>
        <w:spacing w:lineRule="auto" w:line="240"/>
        <w:jc w:val="both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př. 2 CO + 2 NO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2 CO</w:t>
      </w:r>
      <w:r>
        <w:rPr>
          <w:rFonts w:cs="Calibri" w:ascii="Cambria" w:hAnsi="Cambria" w:asciiTheme="majorHAnsi" w:cstheme="minorHAnsi" w:hAnsiTheme="majorHAnsi"/>
          <w:sz w:val="24"/>
          <w:szCs w:val="24"/>
          <w:vertAlign w:val="subscript"/>
        </w:rPr>
        <w:t xml:space="preserve">2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+ N</w:t>
      </w:r>
      <w:r>
        <w:rPr>
          <w:rFonts w:cs="Calibri" w:ascii="Cambria" w:hAnsi="Cambria" w:asciiTheme="majorHAnsi" w:cstheme="minorHAnsi" w:hAnsiTheme="majorHAnsi"/>
          <w:sz w:val="24"/>
          <w:szCs w:val="24"/>
          <w:vertAlign w:val="subscript"/>
        </w:rPr>
        <w:t>2</w:t>
      </w:r>
    </w:p>
    <w:p>
      <w:pPr>
        <w:pStyle w:val="Normal"/>
        <w:spacing w:lineRule="auto" w:line="240"/>
        <w:jc w:val="both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součástí obvykle i kyslíková sonda – reaguje na složení spalin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úprava poměru palivové směsi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  <w:szCs w:val="24"/>
          <w:u w:val="single"/>
        </w:rPr>
      </w:pPr>
      <w:r>
        <w:rPr>
          <w:rFonts w:ascii="Cambria" w:hAnsi="Cambria" w:asciiTheme="majorHAnsi" w:hAnsiTheme="majorHAnsi"/>
          <w:b/>
          <w:sz w:val="24"/>
          <w:szCs w:val="24"/>
          <w:u w:val="single"/>
        </w:rPr>
        <w:t>Pohonné látky</w:t>
      </w:r>
    </w:p>
    <w:p>
      <w:pPr>
        <w:pStyle w:val="Normal"/>
        <w:ind w:left="170" w:hanging="17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využití produktů frakční destilace ropy (hlavně benzinu a motorové nafty) – nestačí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ascii="Cambria" w:hAnsi="Cambria" w:asciiTheme="majorHAnsi" w:hAnsiTheme="majorHAnsi"/>
          <w:sz w:val="24"/>
          <w:szCs w:val="24"/>
        </w:rPr>
        <w:t xml:space="preserve"> další získáváme z frakcí s delším uhlíkatým řetězcem (především petroleje)</w:t>
      </w:r>
    </w:p>
    <w:p>
      <w:pPr>
        <w:pStyle w:val="Normal"/>
        <w:ind w:left="1701" w:hanging="1701"/>
        <w:jc w:val="both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b/>
          <w:bCs/>
          <w:sz w:val="24"/>
          <w:szCs w:val="24"/>
        </w:rPr>
        <w:t>krakování</w:t>
      </w:r>
      <w:r>
        <w:rPr>
          <w:rFonts w:ascii="Cambria" w:hAnsi="Cambria" w:asciiTheme="majorHAnsi" w:hAnsiTheme="majorHAnsi"/>
          <w:sz w:val="24"/>
          <w:szCs w:val="24"/>
        </w:rPr>
        <w:t xml:space="preserve"> =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 xml:space="preserve">štěpení řetězce uhlovodíků s dlouhým uhlíkatým řetězcem na uhlovodíky s kratším řetězcem </w:t>
      </w:r>
    </w:p>
    <w:p>
      <w:pPr>
        <w:pStyle w:val="Normal"/>
        <w:ind w:left="1701" w:hanging="227"/>
        <w:jc w:val="both"/>
        <w:rPr>
          <w:rFonts w:ascii="Cambria" w:hAnsi="Cambria" w:asciiTheme="majorHAnsi" w:hAnsiTheme="majorHAnsi"/>
          <w:b/>
          <w:b/>
          <w:bCs/>
          <w:i/>
          <w:i/>
          <w:iCs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b/>
          <w:bCs/>
          <w:i/>
          <w:iCs/>
          <w:sz w:val="24"/>
          <w:szCs w:val="24"/>
        </w:rPr>
        <w:t xml:space="preserve">výchozí nasycený uhlovodík (alkan) štěpen na 1 nasycený uhlovodík (alkan) </w:t>
        <w:br/>
        <w:t xml:space="preserve">+ 1 nenasycený (alken) </w:t>
      </w:r>
    </w:p>
    <w:p>
      <w:pPr>
        <w:pStyle w:val="Normal"/>
        <w:ind w:left="1474" w:hanging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- za vysoké teploty (900°C)</w:t>
      </w:r>
    </w:p>
    <w:p>
      <w:pPr>
        <w:pStyle w:val="Normal"/>
        <w:ind w:left="1474" w:hanging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- za zvýšené teploty a přítomnosti katalyzátorů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- př. štěpení složky petroleje – hexadekanu (C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16</w:t>
      </w:r>
      <w:r>
        <w:rPr>
          <w:rFonts w:ascii="Cambria" w:hAnsi="Cambria" w:asciiTheme="majorHAnsi" w:hAnsiTheme="majorHAnsi"/>
          <w:sz w:val="24"/>
          <w:szCs w:val="24"/>
        </w:rPr>
        <w:t>H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34</w:t>
      </w:r>
      <w:r>
        <w:rPr>
          <w:rFonts w:ascii="Cambria" w:hAnsi="Cambria" w:asciiTheme="majorHAnsi" w:hAnsiTheme="majorHAnsi"/>
          <w:sz w:val="24"/>
          <w:szCs w:val="24"/>
        </w:rPr>
        <w:t xml:space="preserve">) </w:t>
      </w:r>
    </w:p>
    <w:p>
      <w:pPr>
        <w:pStyle w:val="Normal"/>
        <w:ind w:left="397" w:hanging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- vzniká např. oktan C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8</w:t>
      </w:r>
      <w:r>
        <w:rPr>
          <w:rFonts w:ascii="Cambria" w:hAnsi="Cambria" w:asciiTheme="majorHAnsi" w:hAnsiTheme="majorHAnsi"/>
          <w:sz w:val="24"/>
          <w:szCs w:val="24"/>
        </w:rPr>
        <w:t>H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18</w:t>
      </w:r>
      <w:r>
        <w:rPr>
          <w:rFonts w:ascii="Cambria" w:hAnsi="Cambria" w:asciiTheme="majorHAnsi" w:hAnsiTheme="majorHAnsi"/>
          <w:sz w:val="24"/>
          <w:szCs w:val="24"/>
        </w:rPr>
        <w:t xml:space="preserve"> (alkan), okten C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8</w:t>
      </w:r>
      <w:r>
        <w:rPr>
          <w:rFonts w:ascii="Cambria" w:hAnsi="Cambria" w:asciiTheme="majorHAnsi" w:hAnsiTheme="majorHAnsi"/>
          <w:sz w:val="24"/>
          <w:szCs w:val="24"/>
        </w:rPr>
        <w:t>H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16</w:t>
      </w:r>
      <w:r>
        <w:rPr>
          <w:rFonts w:ascii="Cambria" w:hAnsi="Cambria" w:asciiTheme="majorHAnsi" w:hAnsiTheme="majorHAnsi"/>
          <w:sz w:val="24"/>
          <w:szCs w:val="24"/>
        </w:rPr>
        <w:t xml:space="preserve"> (alken)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ab/>
        <w:tab/>
        <w:t>krakování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1D836A61">
                <wp:simplePos x="0" y="0"/>
                <wp:positionH relativeFrom="column">
                  <wp:posOffset>792480</wp:posOffset>
                </wp:positionH>
                <wp:positionV relativeFrom="paragraph">
                  <wp:posOffset>106045</wp:posOffset>
                </wp:positionV>
                <wp:extent cx="876935" cy="1270"/>
                <wp:effectExtent l="0" t="76200" r="19050" b="114300"/>
                <wp:wrapNone/>
                <wp:docPr id="1" name="Přímá spojnice se šipkou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Přímá spojnice se šipkou 1" stroked="t" style="position:absolute;margin-left:62.4pt;margin-top:8.35pt;width:68.95pt;height:0pt" wp14:anchorId="1D836A61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Cambria" w:hAnsi="Cambria" w:asciiTheme="majorHAnsi" w:hAnsiTheme="majorHAnsi"/>
          <w:sz w:val="24"/>
          <w:szCs w:val="24"/>
        </w:rPr>
        <w:t xml:space="preserve">          </w:t>
      </w:r>
      <w:r>
        <w:rPr>
          <w:rFonts w:ascii="Cambria" w:hAnsi="Cambria" w:asciiTheme="majorHAnsi" w:hAnsiTheme="majorHAnsi"/>
          <w:sz w:val="24"/>
          <w:szCs w:val="24"/>
        </w:rPr>
        <w:t>C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16</w:t>
      </w:r>
      <w:r>
        <w:rPr>
          <w:rFonts w:ascii="Cambria" w:hAnsi="Cambria" w:asciiTheme="majorHAnsi" w:hAnsiTheme="majorHAnsi"/>
          <w:sz w:val="24"/>
          <w:szCs w:val="24"/>
        </w:rPr>
        <w:t>H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 xml:space="preserve">34                                                        </w:t>
      </w:r>
      <w:r>
        <w:rPr>
          <w:rFonts w:ascii="Cambria" w:hAnsi="Cambria" w:asciiTheme="majorHAnsi" w:hAnsiTheme="majorHAnsi"/>
          <w:sz w:val="24"/>
          <w:szCs w:val="24"/>
        </w:rPr>
        <w:t>C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8</w:t>
      </w:r>
      <w:r>
        <w:rPr>
          <w:rFonts w:ascii="Cambria" w:hAnsi="Cambria" w:asciiTheme="majorHAnsi" w:hAnsiTheme="majorHAnsi"/>
          <w:sz w:val="24"/>
          <w:szCs w:val="24"/>
        </w:rPr>
        <w:t>H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18</w:t>
      </w:r>
      <w:r>
        <w:rPr>
          <w:rFonts w:ascii="Cambria" w:hAnsi="Cambria" w:asciiTheme="majorHAnsi" w:hAnsiTheme="majorHAnsi"/>
          <w:sz w:val="24"/>
          <w:szCs w:val="24"/>
        </w:rPr>
        <w:t xml:space="preserve"> + C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8</w:t>
      </w:r>
      <w:r>
        <w:rPr>
          <w:rFonts w:ascii="Cambria" w:hAnsi="Cambria" w:asciiTheme="majorHAnsi" w:hAnsiTheme="majorHAnsi"/>
          <w:sz w:val="24"/>
          <w:szCs w:val="24"/>
        </w:rPr>
        <w:t>H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16</w:t>
      </w:r>
    </w:p>
    <w:p>
      <w:pPr>
        <w:pStyle w:val="Normal"/>
        <w:spacing w:lineRule="auto" w:line="240"/>
        <w:jc w:val="both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cstheme="minorHAnsi" w:ascii="Cambria" w:hAnsi="Cambria"/>
          <w:sz w:val="24"/>
          <w:szCs w:val="24"/>
        </w:rPr>
      </w:r>
    </w:p>
    <w:p>
      <w:pPr>
        <w:pStyle w:val="Normal"/>
        <w:spacing w:lineRule="exact" w:line="240"/>
        <w:jc w:val="center"/>
        <w:rPr>
          <w:rFonts w:ascii="Cambria" w:hAnsi="Cambria" w:asciiTheme="majorHAnsi" w:hAnsiTheme="majorHAnsi"/>
          <w:b/>
          <w:b/>
          <w:sz w:val="24"/>
          <w:szCs w:val="24"/>
          <w:u w:val="double"/>
        </w:rPr>
      </w:pPr>
      <w:r>
        <w:rPr>
          <w:rFonts w:ascii="Cambria" w:hAnsi="Cambria" w:asciiTheme="majorHAnsi" w:hAnsiTheme="majorHAnsi"/>
          <w:b/>
          <w:sz w:val="24"/>
          <w:szCs w:val="24"/>
          <w:u w:val="double"/>
        </w:rPr>
        <w:t>Redoxní reakce</w:t>
      </w:r>
    </w:p>
    <w:p>
      <w:pPr>
        <w:pStyle w:val="Normal"/>
        <w:spacing w:lineRule="exact" w:line="240"/>
        <w:ind w:left="170" w:hanging="17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- děje, při kterých probíhají redukce i oxidace (probíhají vždy současně) + dochází ke změnám oxidačních čísel atomů</w:t>
      </w:r>
    </w:p>
    <w:p>
      <w:pPr>
        <w:pStyle w:val="Normal"/>
        <w:spacing w:lineRule="exact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- mezi atomy prvků probíhá výměna elektronů</w:t>
      </w:r>
    </w:p>
    <w:p>
      <w:pPr>
        <w:pStyle w:val="Normal"/>
        <w:spacing w:lineRule="exact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  <w:u w:val="single"/>
        </w:rPr>
        <w:t>redukce</w:t>
      </w:r>
      <w:r>
        <w:rPr>
          <w:rFonts w:ascii="Cambria" w:hAnsi="Cambria" w:asciiTheme="majorHAnsi" w:hAnsiTheme="majorHAnsi"/>
          <w:sz w:val="24"/>
          <w:szCs w:val="24"/>
        </w:rPr>
        <w:t xml:space="preserve"> = děj, při kterém se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oxidační číslo atomů prvků zmenšuje</w:t>
      </w:r>
      <w:r>
        <w:rPr>
          <w:rFonts w:ascii="Cambria" w:hAnsi="Cambria" w:asciiTheme="majorHAnsi" w:hAnsiTheme="majorHAnsi"/>
          <w:sz w:val="24"/>
          <w:szCs w:val="24"/>
        </w:rPr>
        <w:t xml:space="preserve"> O</w:t>
      </w:r>
      <w:r>
        <w:rPr>
          <w:rFonts w:ascii="Cambria" w:hAnsi="Cambria" w:asciiTheme="majorHAnsi" w:hAnsiTheme="majorHAnsi"/>
          <w:sz w:val="24"/>
          <w:szCs w:val="24"/>
          <w:vertAlign w:val="superscript"/>
        </w:rPr>
        <w:t>0</w:t>
      </w:r>
      <w:r>
        <w:rPr>
          <w:rFonts w:ascii="Cambria" w:hAnsi="Cambria" w:asciiTheme="majorHAnsi" w:hAnsiTheme="majorHAnsi"/>
          <w:sz w:val="24"/>
          <w:szCs w:val="24"/>
        </w:rPr>
        <w:t xml:space="preserve"> + 2e</w:t>
      </w:r>
      <w:r>
        <w:rPr>
          <w:rFonts w:ascii="Cambria" w:hAnsi="Cambria" w:asciiTheme="majorHAnsi" w:hAnsiTheme="majorHAnsi"/>
          <w:sz w:val="24"/>
          <w:szCs w:val="24"/>
          <w:vertAlign w:val="superscript"/>
        </w:rPr>
        <w:t>-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ascii="Cambria" w:hAnsi="Cambria" w:asciiTheme="majorHAnsi" w:hAnsiTheme="majorHAnsi"/>
          <w:sz w:val="24"/>
          <w:szCs w:val="24"/>
        </w:rPr>
        <w:t xml:space="preserve"> O</w:t>
      </w:r>
      <w:r>
        <w:rPr>
          <w:rFonts w:ascii="Cambria" w:hAnsi="Cambria" w:asciiTheme="majorHAnsi" w:hAnsiTheme="majorHAnsi"/>
          <w:sz w:val="24"/>
          <w:szCs w:val="24"/>
          <w:vertAlign w:val="superscript"/>
        </w:rPr>
        <w:t>2-</w:t>
      </w:r>
    </w:p>
    <w:p>
      <w:pPr>
        <w:pStyle w:val="Normal"/>
        <w:spacing w:lineRule="exact" w:line="24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</w:rPr>
        <w:tab/>
        <w:t xml:space="preserve">   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atom přijímá elektrony</w:t>
      </w:r>
    </w:p>
    <w:p>
      <w:pPr>
        <w:pStyle w:val="Normal"/>
        <w:spacing w:lineRule="exact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  <w:u w:val="single"/>
        </w:rPr>
        <w:t>oxidace</w:t>
      </w:r>
      <w:r>
        <w:rPr>
          <w:rFonts w:ascii="Cambria" w:hAnsi="Cambria" w:asciiTheme="majorHAnsi" w:hAnsiTheme="majorHAnsi"/>
          <w:sz w:val="24"/>
          <w:szCs w:val="24"/>
        </w:rPr>
        <w:t xml:space="preserve"> = děj, při kterém se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oxidační číslo atomů prvků zvětšuje</w:t>
      </w:r>
      <w:r>
        <w:rPr>
          <w:rFonts w:ascii="Cambria" w:hAnsi="Cambria" w:asciiTheme="majorHAnsi" w:hAnsiTheme="majorHAnsi"/>
          <w:sz w:val="24"/>
          <w:szCs w:val="24"/>
        </w:rPr>
        <w:t xml:space="preserve"> Mg</w:t>
      </w:r>
      <w:r>
        <w:rPr>
          <w:rFonts w:ascii="Cambria" w:hAnsi="Cambria" w:asciiTheme="majorHAnsi" w:hAnsiTheme="majorHAnsi"/>
          <w:sz w:val="24"/>
          <w:szCs w:val="24"/>
          <w:vertAlign w:val="superscript"/>
        </w:rPr>
        <w:t>0</w:t>
      </w:r>
      <w:r>
        <w:rPr>
          <w:rFonts w:ascii="Cambria" w:hAnsi="Cambria" w:asciiTheme="majorHAnsi" w:hAnsiTheme="majorHAnsi"/>
          <w:sz w:val="24"/>
          <w:szCs w:val="24"/>
        </w:rPr>
        <w:t xml:space="preserve"> – 2e</w:t>
      </w:r>
      <w:r>
        <w:rPr>
          <w:rFonts w:ascii="Cambria" w:hAnsi="Cambria" w:asciiTheme="majorHAnsi" w:hAnsiTheme="majorHAnsi"/>
          <w:sz w:val="24"/>
          <w:szCs w:val="24"/>
          <w:vertAlign w:val="superscript"/>
        </w:rPr>
        <w:t>-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ascii="Cambria" w:hAnsi="Cambria" w:asciiTheme="majorHAnsi" w:hAnsiTheme="majorHAnsi"/>
          <w:sz w:val="24"/>
          <w:szCs w:val="24"/>
        </w:rPr>
        <w:t xml:space="preserve"> Mg</w:t>
      </w:r>
      <w:r>
        <w:rPr>
          <w:rFonts w:ascii="Cambria" w:hAnsi="Cambria" w:asciiTheme="majorHAnsi" w:hAnsiTheme="majorHAnsi"/>
          <w:sz w:val="24"/>
          <w:szCs w:val="24"/>
          <w:vertAlign w:val="superscript"/>
        </w:rPr>
        <w:t>2+</w:t>
      </w:r>
    </w:p>
    <w:p>
      <w:pPr>
        <w:pStyle w:val="Normal"/>
        <w:spacing w:lineRule="exact" w:line="24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</w:rPr>
        <w:tab/>
        <w:t xml:space="preserve"> 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atom odevzdává elektrony</w:t>
      </w:r>
    </w:p>
    <w:p>
      <w:pPr>
        <w:pStyle w:val="Normal"/>
        <w:spacing w:lineRule="exact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  <w:u w:val="single"/>
        </w:rPr>
        <w:t>oxidační činidlo</w:t>
      </w:r>
      <w:r>
        <w:rPr>
          <w:rFonts w:ascii="Cambria" w:hAnsi="Cambria" w:asciiTheme="majorHAnsi" w:hAnsiTheme="majorHAnsi"/>
          <w:sz w:val="24"/>
          <w:szCs w:val="24"/>
        </w:rPr>
        <w:t xml:space="preserve"> = látka, která se sama redukuje a způsobuje oxidaci jiné látky</w:t>
      </w:r>
    </w:p>
    <w:p>
      <w:pPr>
        <w:pStyle w:val="Normal"/>
        <w:spacing w:lineRule="exact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  <w:u w:val="single"/>
        </w:rPr>
        <w:t>redukční činidlo</w:t>
      </w:r>
      <w:r>
        <w:rPr>
          <w:rFonts w:ascii="Cambria" w:hAnsi="Cambria" w:asciiTheme="majorHAnsi" w:hAnsiTheme="majorHAnsi"/>
          <w:sz w:val="24"/>
          <w:szCs w:val="24"/>
        </w:rPr>
        <w:t xml:space="preserve"> = látka, která se sama oxiduje a způsobuje redukci jiné látky</w:t>
      </w:r>
    </w:p>
    <w:p>
      <w:pPr>
        <w:pStyle w:val="Normal"/>
        <w:spacing w:lineRule="exact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spacing w:lineRule="exact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- doporučuji projít téma i v učebnici – str. 12 - 13</w:t>
      </w:r>
    </w:p>
    <w:p>
      <w:pPr>
        <w:pStyle w:val="Normal"/>
        <w:spacing w:lineRule="auto" w:line="240"/>
        <w:jc w:val="both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cstheme="minorHAnsi" w:ascii="Cambria" w:hAnsi="Cambria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54a5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LibreOffice/5.4.4.2$Windows_X86_64 LibreOffice_project/2524958677847fb3bb44820e40380acbe820f960</Application>
  <Pages>3</Pages>
  <Words>437</Words>
  <Characters>2308</Characters>
  <CharactersWithSpaces>2824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2020-04-29T08:12:00Z</dcterms:created>
  <dc:creator>Věra</dc:creator>
  <dc:description/>
  <dc:language>cs-CZ</dc:language>
  <cp:lastModifiedBy>Věrka Věrka</cp:lastModifiedBy>
  <dcterms:modified xsi:type="dcterms:W3CDTF">2020-04-29T08:39:00Z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