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rPr>
          <w:rFonts w:ascii="Cambria" w:hAnsi="Cambria"/>
          <w:b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Otravné látky</w:t>
      </w:r>
    </w:p>
    <w:p>
      <w:pPr>
        <w:pStyle w:val="Normal"/>
        <w:spacing w:lineRule="exact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výrazný </w:t>
      </w:r>
      <w:r>
        <w:rPr>
          <w:rFonts w:ascii="Cambria" w:hAnsi="Cambria"/>
          <w:sz w:val="24"/>
          <w:szCs w:val="24"/>
          <w:u w:val="single"/>
        </w:rPr>
        <w:t>zhoubný účinek na živé organismy</w:t>
      </w:r>
    </w:p>
    <w:p>
      <w:pPr>
        <w:pStyle w:val="Normal"/>
        <w:spacing w:lineRule="exact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  <w:u w:val="single"/>
        </w:rPr>
        <w:t xml:space="preserve">zneužití </w:t>
      </w:r>
      <w:r>
        <w:rPr>
          <w:rFonts w:cs="Times New Roman" w:ascii="Cambria" w:hAnsi="Cambria"/>
          <w:sz w:val="24"/>
          <w:szCs w:val="24"/>
          <w:u w:val="single"/>
        </w:rPr>
        <w:t>→</w:t>
      </w:r>
      <w:r>
        <w:rPr>
          <w:rFonts w:ascii="Cambria" w:hAnsi="Cambria"/>
          <w:sz w:val="24"/>
          <w:szCs w:val="24"/>
          <w:u w:val="single"/>
        </w:rPr>
        <w:t xml:space="preserve"> bojové chemické látky</w:t>
      </w:r>
    </w:p>
    <w:p>
      <w:pPr>
        <w:pStyle w:val="Normal"/>
        <w:spacing w:lineRule="exact" w:line="240"/>
        <w:rPr>
          <w:rFonts w:ascii="Cambria" w:hAnsi="Cambria" w:cs="Calibri" w:cstheme="minorHAns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  <w:u w:val="single"/>
        </w:rPr>
        <w:t>dle účinků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cs="Calibri" w:ascii="Cambria" w:hAnsi="Cambria" w:cstheme="minorHAnsi"/>
          <w:sz w:val="24"/>
          <w:szCs w:val="24"/>
        </w:rPr>
        <w:t xml:space="preserve">• </w:t>
      </w:r>
      <w:r>
        <w:rPr>
          <w:rFonts w:cs="Calibri" w:ascii="Cambria" w:hAnsi="Cambria" w:cstheme="minorHAnsi"/>
          <w:b/>
          <w:i/>
          <w:sz w:val="24"/>
          <w:szCs w:val="24"/>
        </w:rPr>
        <w:t>dusivé, • zpuchýřňující, • nervové jedy, • všeobecně jedovaté</w:t>
      </w:r>
    </w:p>
    <w:p>
      <w:pPr>
        <w:pStyle w:val="Normal"/>
        <w:spacing w:lineRule="exact" w:line="240"/>
        <w:rPr>
          <w:rFonts w:ascii="Cambria" w:hAnsi="Cambria" w:cs="Calibri" w:cstheme="minorHAnsi"/>
          <w:b/>
          <w:b/>
          <w:sz w:val="24"/>
          <w:szCs w:val="24"/>
        </w:rPr>
      </w:pPr>
      <w:r>
        <w:rPr>
          <w:rFonts w:cs="Calibri" w:ascii="Cambria" w:hAnsi="Cambria" w:cstheme="minorHAnsi"/>
          <w:sz w:val="24"/>
          <w:szCs w:val="24"/>
        </w:rPr>
        <w:t xml:space="preserve">- </w:t>
      </w:r>
      <w:r>
        <w:rPr>
          <w:rFonts w:cs="Calibri" w:ascii="Cambria" w:hAnsi="Cambria" w:cstheme="minorHAnsi"/>
          <w:sz w:val="24"/>
          <w:szCs w:val="24"/>
          <w:u w:val="single"/>
        </w:rPr>
        <w:t>nebezpečí</w:t>
      </w:r>
      <w:r>
        <w:rPr>
          <w:rFonts w:cs="Calibri" w:ascii="Cambria" w:hAnsi="Cambria" w:cstheme="minorHAnsi"/>
          <w:sz w:val="24"/>
          <w:szCs w:val="24"/>
        </w:rPr>
        <w:t xml:space="preserve">: - </w:t>
      </w:r>
      <w:r>
        <w:rPr>
          <w:rFonts w:cs="Calibri" w:ascii="Cambria" w:hAnsi="Cambria" w:cstheme="minorHAnsi"/>
          <w:b/>
          <w:sz w:val="24"/>
          <w:szCs w:val="24"/>
        </w:rPr>
        <w:t xml:space="preserve">havárie chemických závodů </w:t>
      </w:r>
      <w:r>
        <w:rPr>
          <w:rFonts w:cs="Times New Roman" w:ascii="Cambria" w:hAnsi="Cambria"/>
          <w:b/>
          <w:sz w:val="24"/>
          <w:szCs w:val="24"/>
        </w:rPr>
        <w:t>→</w:t>
      </w:r>
      <w:r>
        <w:rPr>
          <w:rFonts w:cs="Calibri" w:ascii="Cambria" w:hAnsi="Cambria" w:cstheme="minorHAnsi"/>
          <w:b/>
          <w:sz w:val="24"/>
          <w:szCs w:val="24"/>
        </w:rPr>
        <w:t xml:space="preserve"> </w:t>
      </w:r>
      <w:r>
        <w:rPr>
          <w:rFonts w:cs="Calibri" w:ascii="Cambria" w:hAnsi="Cambria" w:cstheme="minorHAnsi"/>
          <w:sz w:val="24"/>
          <w:szCs w:val="24"/>
        </w:rPr>
        <w:t>únik</w:t>
      </w:r>
    </w:p>
    <w:p>
      <w:pPr>
        <w:pStyle w:val="Normal"/>
        <w:spacing w:lineRule="exact" w:line="240"/>
        <w:rPr>
          <w:rFonts w:ascii="Cambria" w:hAnsi="Cambria" w:cs="Calibri" w:cstheme="minorHAnsi"/>
          <w:b/>
          <w:b/>
          <w:sz w:val="24"/>
          <w:szCs w:val="24"/>
        </w:rPr>
      </w:pPr>
      <w:r>
        <w:rPr>
          <w:rFonts w:cs="Calibri" w:ascii="Cambria" w:hAnsi="Cambria" w:cstheme="minorHAnsi"/>
          <w:b/>
          <w:sz w:val="24"/>
          <w:szCs w:val="24"/>
        </w:rPr>
        <w:tab/>
        <w:t xml:space="preserve">          - nehody dopravních prostředků převážejících chemikálie</w:t>
      </w:r>
    </w:p>
    <w:p>
      <w:pPr>
        <w:pStyle w:val="Normal"/>
        <w:spacing w:lineRule="exact" w:line="240"/>
        <w:rPr>
          <w:rFonts w:ascii="Cambria" w:hAnsi="Cambria" w:cs="Calibri" w:cstheme="minorHAnsi"/>
          <w:b/>
          <w:b/>
          <w:sz w:val="24"/>
          <w:szCs w:val="24"/>
        </w:rPr>
      </w:pPr>
      <w:r>
        <w:rPr>
          <w:rFonts w:cs="Calibri" w:ascii="Cambria" w:hAnsi="Cambria" w:cstheme="minorHAnsi"/>
          <w:b/>
          <w:sz w:val="24"/>
          <w:szCs w:val="24"/>
        </w:rPr>
        <w:tab/>
        <w:t xml:space="preserve">         - hoření některých materiálů při požáru</w:t>
      </w:r>
    </w:p>
    <w:p>
      <w:pPr>
        <w:pStyle w:val="Normal"/>
        <w:spacing w:lineRule="exact" w:line="240"/>
        <w:rPr>
          <w:rFonts w:ascii="Cambria" w:hAnsi="Cambria" w:cs="Calibri" w:cstheme="minorHAnsi"/>
          <w:b/>
          <w:b/>
          <w:i/>
          <w:i/>
          <w:sz w:val="24"/>
          <w:szCs w:val="24"/>
        </w:rPr>
      </w:pPr>
      <w:r>
        <w:rPr>
          <w:rFonts w:cs="Calibri" w:ascii="Cambria" w:hAnsi="Cambria" w:cstheme="minorHAnsi"/>
          <w:sz w:val="24"/>
          <w:szCs w:val="24"/>
        </w:rPr>
        <w:t xml:space="preserve">- vyhlašuje se </w:t>
      </w:r>
      <w:r>
        <w:rPr>
          <w:rFonts w:cs="Calibri" w:ascii="Cambria" w:hAnsi="Cambria" w:cstheme="minorHAnsi"/>
          <w:b/>
          <w:sz w:val="24"/>
          <w:szCs w:val="24"/>
          <w:u w:val="single"/>
        </w:rPr>
        <w:t>chemický poplach</w:t>
      </w:r>
      <w:r>
        <w:rPr>
          <w:rFonts w:cs="Calibri" w:ascii="Cambria" w:hAnsi="Cambria" w:cstheme="minorHAnsi"/>
          <w:sz w:val="24"/>
          <w:szCs w:val="24"/>
        </w:rPr>
        <w:t xml:space="preserve"> (údery na volně zavěšené kovové předměty, rozhlas) </w:t>
      </w:r>
      <w:r>
        <w:rPr>
          <w:rFonts w:cs="Times New Roman" w:ascii="Cambria" w:hAnsi="Cambria"/>
          <w:sz w:val="24"/>
          <w:szCs w:val="24"/>
        </w:rPr>
        <w:t>→</w:t>
      </w:r>
      <w:r>
        <w:rPr>
          <w:rFonts w:cs="Calibri" w:ascii="Cambria" w:hAnsi="Cambria" w:cstheme="minorHAnsi"/>
          <w:sz w:val="24"/>
          <w:szCs w:val="24"/>
        </w:rPr>
        <w:t xml:space="preserve"> </w:t>
      </w:r>
      <w:r>
        <w:rPr>
          <w:rFonts w:cs="Calibri" w:ascii="Cambria" w:hAnsi="Cambria" w:cstheme="minorHAnsi"/>
          <w:b/>
          <w:i/>
          <w:sz w:val="24"/>
          <w:szCs w:val="24"/>
        </w:rPr>
        <w:t>úkryt</w:t>
      </w:r>
    </w:p>
    <w:p>
      <w:pPr>
        <w:pStyle w:val="Normal"/>
        <w:spacing w:lineRule="exact" w:line="240"/>
        <w:rPr>
          <w:rFonts w:ascii="Cambria" w:hAnsi="Cambria" w:cs="Calibri" w:cstheme="minorHAnsi"/>
          <w:b/>
          <w:b/>
          <w:i/>
          <w:i/>
          <w:sz w:val="24"/>
          <w:szCs w:val="24"/>
        </w:rPr>
      </w:pPr>
      <w:r>
        <w:rPr>
          <w:rFonts w:cs="Calibri" w:ascii="Cambria" w:hAnsi="Cambria" w:cstheme="minorHAnsi"/>
          <w:b/>
          <w:i/>
          <w:sz w:val="24"/>
          <w:szCs w:val="24"/>
        </w:rPr>
        <w:tab/>
        <w:tab/>
        <w:tab/>
        <w:tab/>
        <w:tab/>
        <w:tab/>
        <w:tab/>
        <w:tab/>
        <w:tab/>
        <w:t xml:space="preserve">                     </w:t>
      </w:r>
      <w:r>
        <w:rPr>
          <w:rFonts w:cs="Times New Roman" w:ascii="Cambria" w:hAnsi="Cambria"/>
          <w:b/>
          <w:i/>
          <w:sz w:val="24"/>
          <w:szCs w:val="24"/>
        </w:rPr>
        <w:t>→</w:t>
      </w:r>
      <w:r>
        <w:rPr>
          <w:rFonts w:cs="Calibri" w:ascii="Cambria" w:hAnsi="Cambria" w:cstheme="minorHAnsi"/>
          <w:b/>
          <w:i/>
          <w:sz w:val="24"/>
          <w:szCs w:val="24"/>
        </w:rPr>
        <w:t xml:space="preserve"> ochranné prostředky + oděv</w:t>
      </w:r>
    </w:p>
    <w:p>
      <w:pPr>
        <w:pStyle w:val="Normal"/>
        <w:spacing w:lineRule="exact" w:line="240"/>
        <w:jc w:val="center"/>
        <w:rPr>
          <w:rFonts w:ascii="Cambria" w:hAnsi="Cambria"/>
          <w:b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</w:r>
    </w:p>
    <w:p>
      <w:pPr>
        <w:pStyle w:val="Normal"/>
        <w:spacing w:lineRule="exact" w:line="240"/>
        <w:jc w:val="center"/>
        <w:rPr>
          <w:rFonts w:ascii="Cambria" w:hAnsi="Cambria"/>
          <w:b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Hořlaviny</w:t>
      </w:r>
    </w:p>
    <w:p>
      <w:pPr>
        <w:pStyle w:val="Normal"/>
        <w:spacing w:lineRule="exact" w:line="240"/>
        <w:rPr>
          <w:rFonts w:ascii="Cambria" w:hAnsi="Cambria"/>
          <w:b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- látky, které prudce hoří se vzdušným kyslíkem</w:t>
      </w:r>
    </w:p>
    <w:p>
      <w:pPr>
        <w:pStyle w:val="Normal"/>
        <w:spacing w:lineRule="exact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uvolňují energii (světlo + teplo)</w:t>
      </w:r>
    </w:p>
    <w:p>
      <w:pPr>
        <w:pStyle w:val="Normal"/>
        <w:spacing w:lineRule="exact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při hoření – mění svůj charakter a produkují toxické látky</w:t>
      </w:r>
    </w:p>
    <w:p>
      <w:pPr>
        <w:pStyle w:val="Normal"/>
        <w:spacing w:lineRule="exact" w:line="240"/>
        <w:rPr>
          <w:rFonts w:ascii="Cambria" w:hAnsi="Cambria" w:cs="Calibri" w:cstheme="minorHAnsi"/>
          <w:sz w:val="24"/>
          <w:szCs w:val="24"/>
        </w:rPr>
      </w:pPr>
      <w:r>
        <w:rPr>
          <w:rFonts w:cs="Calibri" w:ascii="Cambria" w:hAnsi="Cambria" w:cstheme="minorHAnsi"/>
          <w:sz w:val="24"/>
          <w:szCs w:val="24"/>
        </w:rPr>
        <w:t xml:space="preserve">• </w:t>
      </w:r>
      <w:r>
        <w:rPr>
          <w:rFonts w:cs="Calibri" w:ascii="Cambria" w:hAnsi="Cambria" w:cstheme="minorHAnsi"/>
          <w:sz w:val="24"/>
          <w:szCs w:val="24"/>
        </w:rPr>
        <w:t>I. třída – bod vzplanutí do 21°C (aceton, lehké benzíny, metanol, sirouhlík)</w:t>
      </w:r>
    </w:p>
    <w:p>
      <w:pPr>
        <w:pStyle w:val="Normal"/>
        <w:spacing w:lineRule="exact" w:line="240"/>
        <w:rPr>
          <w:rFonts w:ascii="Cambria" w:hAnsi="Cambria" w:cs="Calibri" w:cstheme="minorHAnsi"/>
          <w:sz w:val="24"/>
          <w:szCs w:val="24"/>
        </w:rPr>
      </w:pPr>
      <w:r>
        <w:rPr>
          <w:rFonts w:cs="Calibri" w:ascii="Cambria" w:hAnsi="Cambria" w:cstheme="minorHAnsi"/>
          <w:sz w:val="24"/>
          <w:szCs w:val="24"/>
        </w:rPr>
        <w:t xml:space="preserve">• </w:t>
      </w:r>
      <w:r>
        <w:rPr>
          <w:rFonts w:cs="Calibri" w:ascii="Cambria" w:hAnsi="Cambria" w:cstheme="minorHAnsi"/>
          <w:sz w:val="24"/>
          <w:szCs w:val="24"/>
        </w:rPr>
        <w:t>II. třída – od 21 do 55°C (lakový benzin, petrolej, styren)</w:t>
      </w:r>
    </w:p>
    <w:p>
      <w:pPr>
        <w:pStyle w:val="Normal"/>
        <w:spacing w:lineRule="exact" w:line="240"/>
        <w:rPr>
          <w:rFonts w:ascii="Cambria" w:hAnsi="Cambria" w:cs="Calibri" w:cstheme="minorHAnsi"/>
          <w:sz w:val="24"/>
          <w:szCs w:val="24"/>
        </w:rPr>
      </w:pPr>
      <w:r>
        <w:rPr>
          <w:rFonts w:cs="Calibri" w:ascii="Cambria" w:hAnsi="Cambria" w:cstheme="minorHAnsi"/>
          <w:sz w:val="24"/>
          <w:szCs w:val="24"/>
        </w:rPr>
        <w:t xml:space="preserve">• </w:t>
      </w:r>
      <w:r>
        <w:rPr>
          <w:rFonts w:cs="Calibri" w:ascii="Cambria" w:hAnsi="Cambria" w:cstheme="minorHAnsi"/>
          <w:sz w:val="24"/>
          <w:szCs w:val="24"/>
        </w:rPr>
        <w:t xml:space="preserve">III. třída - od 55 do 100°C (motorová nafta, výše vroucí petrolej) </w:t>
      </w:r>
    </w:p>
    <w:p>
      <w:pPr>
        <w:pStyle w:val="Normal"/>
        <w:spacing w:lineRule="exact" w:line="240"/>
        <w:rPr>
          <w:rFonts w:ascii="Cambria" w:hAnsi="Cambria" w:cs="Calibri" w:cstheme="minorHAnsi"/>
          <w:sz w:val="24"/>
          <w:szCs w:val="24"/>
        </w:rPr>
      </w:pPr>
      <w:r>
        <w:rPr>
          <w:rFonts w:cs="Calibri" w:ascii="Cambria" w:hAnsi="Cambria" w:cstheme="minorHAnsi"/>
          <w:sz w:val="24"/>
          <w:szCs w:val="24"/>
        </w:rPr>
        <w:t xml:space="preserve">• </w:t>
      </w:r>
      <w:r>
        <w:rPr>
          <w:rFonts w:cs="Calibri" w:ascii="Cambria" w:hAnsi="Cambria" w:cstheme="minorHAnsi"/>
          <w:sz w:val="24"/>
          <w:szCs w:val="24"/>
        </w:rPr>
        <w:t>IV. třída – nad 100 °C do 250°C (topné oleje, anilin, nitrobenzen, …)</w:t>
      </w:r>
    </w:p>
    <w:p>
      <w:pPr>
        <w:pStyle w:val="Normal"/>
        <w:spacing w:lineRule="exact" w:line="240"/>
        <w:ind w:left="1928" w:hanging="1928"/>
        <w:jc w:val="both"/>
        <w:rPr>
          <w:rFonts w:ascii="Cambria" w:hAnsi="Cambria" w:cs="Calibri" w:cstheme="minorHAnsi"/>
          <w:sz w:val="24"/>
          <w:szCs w:val="24"/>
        </w:rPr>
      </w:pPr>
      <w:r>
        <w:rPr>
          <w:rFonts w:cs="Calibri" w:ascii="Cambria" w:hAnsi="Cambria" w:cstheme="minorHAnsi"/>
          <w:sz w:val="24"/>
          <w:szCs w:val="24"/>
        </w:rPr>
        <w:t xml:space="preserve">- </w:t>
      </w:r>
      <w:r>
        <w:rPr>
          <w:rFonts w:cs="Calibri" w:ascii="Cambria" w:hAnsi="Cambria" w:cstheme="minorHAnsi"/>
          <w:b/>
          <w:sz w:val="24"/>
          <w:szCs w:val="24"/>
        </w:rPr>
        <w:t>bod vzplanutí</w:t>
      </w:r>
      <w:r>
        <w:rPr>
          <w:rFonts w:cs="Calibri" w:ascii="Cambria" w:hAnsi="Cambria" w:cstheme="minorHAnsi"/>
          <w:sz w:val="24"/>
          <w:szCs w:val="24"/>
        </w:rPr>
        <w:t xml:space="preserve"> – nejnižší teplota, na kterou je hořlavá kapalina zahřáta, aby po přiblížení plamene nad hladinu došlo </w:t>
      </w:r>
      <w:bookmarkStart w:id="0" w:name="_GoBack"/>
      <w:bookmarkEnd w:id="0"/>
      <w:r>
        <w:rPr>
          <w:rFonts w:cs="Calibri" w:ascii="Cambria" w:hAnsi="Cambria" w:cstheme="minorHAnsi"/>
          <w:sz w:val="24"/>
          <w:szCs w:val="24"/>
        </w:rPr>
        <w:t xml:space="preserve">k vznícení par </w:t>
      </w:r>
    </w:p>
    <w:p>
      <w:pPr>
        <w:pStyle w:val="Normal"/>
        <w:spacing w:lineRule="exact" w:line="240"/>
        <w:rPr>
          <w:rFonts w:ascii="Cambria" w:hAnsi="Cambria" w:cs="Calibri" w:cstheme="minorHAnsi"/>
          <w:sz w:val="24"/>
          <w:szCs w:val="24"/>
        </w:rPr>
      </w:pPr>
      <w:r>
        <w:rPr>
          <w:rFonts w:cs="Calibri" w:ascii="Cambria" w:hAnsi="Cambria" w:cstheme="minorHAnsi"/>
          <w:sz w:val="24"/>
          <w:szCs w:val="24"/>
        </w:rPr>
        <w:tab/>
        <w:tab/>
        <w:t xml:space="preserve">- čím nižší – tím látka nebezpečnější (z hlediska snadnosti vzniku požáru) </w:t>
      </w:r>
    </w:p>
    <w:p>
      <w:pPr>
        <w:pStyle w:val="Normal"/>
        <w:spacing w:lineRule="exact" w:line="240"/>
        <w:rPr>
          <w:rFonts w:ascii="Cambria" w:hAnsi="Cambria" w:cs="Calibri" w:cstheme="minorHAnsi"/>
          <w:sz w:val="24"/>
          <w:szCs w:val="24"/>
        </w:rPr>
      </w:pPr>
      <w:r>
        <w:rPr>
          <w:rFonts w:cs="Calibri" w:ascii="Cambria" w:hAnsi="Cambria" w:cstheme="minorHAnsi"/>
          <w:sz w:val="24"/>
          <w:szCs w:val="24"/>
        </w:rPr>
        <w:t xml:space="preserve">- při práci: - </w:t>
      </w:r>
      <w:r>
        <w:rPr>
          <w:rFonts w:cs="Calibri" w:ascii="Cambria" w:hAnsi="Cambria" w:cstheme="minorHAnsi"/>
          <w:sz w:val="24"/>
          <w:szCs w:val="24"/>
          <w:u w:val="single"/>
        </w:rPr>
        <w:t>neužívat otevřený plamen</w:t>
      </w:r>
      <w:r>
        <w:rPr>
          <w:rFonts w:cs="Calibri" w:ascii="Cambria" w:hAnsi="Cambria" w:cstheme="minorHAnsi"/>
          <w:sz w:val="24"/>
          <w:szCs w:val="24"/>
        </w:rPr>
        <w:t xml:space="preserve"> (používáme topná hnízda či elektrické vařiče) </w:t>
      </w:r>
    </w:p>
    <w:p>
      <w:pPr>
        <w:pStyle w:val="Normal"/>
        <w:spacing w:lineRule="exact" w:line="240" w:before="0" w:after="200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LibreOffice/5.4.4.2$Windows_X86_64 LibreOffice_project/2524958677847fb3bb44820e40380acbe820f960</Application>
  <Pages>1</Pages>
  <Words>186</Words>
  <Characters>974</Characters>
  <CharactersWithSpaces>1203</CharactersWithSpaces>
  <Paragraphs>20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2020-04-08T14:48:00Z</dcterms:created>
  <dc:creator>Věra</dc:creator>
  <dc:description/>
  <dc:language>cs-CZ</dc:language>
  <cp:lastModifiedBy>Věrka Věrka</cp:lastModifiedBy>
  <dcterms:modified xsi:type="dcterms:W3CDTF">2020-04-08T14:50:00Z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