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" w:hAnsi="Cambria"/>
          <w:b/>
          <w:b/>
          <w:sz w:val="24"/>
          <w:szCs w:val="24"/>
          <w:u w:val="double"/>
        </w:rPr>
      </w:pPr>
      <w:r>
        <w:rPr>
          <w:rFonts w:ascii="Cambria" w:hAnsi="Cambria"/>
          <w:b/>
          <w:sz w:val="24"/>
          <w:szCs w:val="24"/>
          <w:u w:val="double"/>
        </w:rPr>
        <w:t>Chemie a životní prostředí – pokračování</w:t>
      </w:r>
    </w:p>
    <w:p>
      <w:pPr>
        <w:pStyle w:val="Normal"/>
        <w:spacing w:lineRule="auto" w:line="240"/>
        <w:jc w:val="center"/>
        <w:rPr>
          <w:rFonts w:ascii="Cambria" w:hAnsi="Cambria"/>
          <w:sz w:val="24"/>
          <w:szCs w:val="24"/>
          <w:u w:val="double"/>
        </w:rPr>
      </w:pPr>
      <w:r>
        <w:rPr>
          <w:rFonts w:ascii="Cambria" w:hAnsi="Cambria"/>
          <w:sz w:val="24"/>
          <w:szCs w:val="24"/>
          <w:u w:val="double"/>
        </w:rPr>
      </w:r>
    </w:p>
    <w:p>
      <w:pPr>
        <w:pStyle w:val="Normal"/>
        <w:spacing w:lineRule="auto" w:line="240"/>
        <w:ind w:left="1588" w:hanging="158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Chemizace</w:t>
      </w:r>
      <w:r>
        <w:rPr>
          <w:rFonts w:ascii="Cambria" w:hAnsi="Cambria"/>
          <w:sz w:val="24"/>
          <w:szCs w:val="24"/>
        </w:rPr>
        <w:t xml:space="preserve"> - využívání výrobků chemického průmyslu a chemických metod ve všech oblastech hospodářství, ve vědních oborech a v běžném životě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b/>
          <w:sz w:val="24"/>
          <w:szCs w:val="24"/>
        </w:rPr>
        <w:t>chemická výroba</w:t>
      </w:r>
      <w:r>
        <w:rPr>
          <w:rFonts w:ascii="Cambria" w:hAnsi="Cambria"/>
          <w:sz w:val="24"/>
          <w:szCs w:val="24"/>
        </w:rPr>
        <w:t xml:space="preserve"> – využívá chemické reakce</w:t>
      </w:r>
    </w:p>
    <w:p>
      <w:pPr>
        <w:pStyle w:val="Normal"/>
        <w:spacing w:lineRule="auto" w:line="240"/>
        <w:ind w:left="1416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- 3 fáze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sz w:val="24"/>
          <w:szCs w:val="24"/>
        </w:rPr>
        <w:t>•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u w:val="single"/>
        </w:rPr>
        <w:t>úprava surovin na výchozí látky</w:t>
      </w:r>
      <w:r>
        <w:rPr>
          <w:rFonts w:ascii="Cambria" w:hAnsi="Cambria"/>
          <w:sz w:val="24"/>
          <w:szCs w:val="24"/>
        </w:rPr>
        <w:t xml:space="preserve"> – </w:t>
      </w:r>
      <w:r>
        <w:rPr>
          <w:rFonts w:ascii="Cambria" w:hAnsi="Cambria"/>
          <w:b/>
          <w:i/>
          <w:sz w:val="24"/>
          <w:szCs w:val="24"/>
        </w:rPr>
        <w:t>suroviny</w:t>
      </w:r>
      <w:r>
        <w:rPr>
          <w:rFonts w:ascii="Cambria" w:hAnsi="Cambria"/>
          <w:sz w:val="24"/>
          <w:szCs w:val="24"/>
        </w:rPr>
        <w:t xml:space="preserve"> = přírodní látky (př. ruda, uhlí)   </w:t>
      </w:r>
    </w:p>
    <w:p>
      <w:pPr>
        <w:pStyle w:val="Normal"/>
        <w:spacing w:lineRule="auto" w:line="240"/>
        <w:ind w:left="2124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b/>
          <w:i/>
          <w:sz w:val="24"/>
          <w:szCs w:val="24"/>
        </w:rPr>
        <w:t>druhotné suroviny</w:t>
      </w:r>
      <w:r>
        <w:rPr>
          <w:rFonts w:ascii="Cambria" w:hAnsi="Cambria"/>
          <w:sz w:val="24"/>
          <w:szCs w:val="24"/>
        </w:rPr>
        <w:t xml:space="preserve"> = i vedlejší produkty či odpady jiných výrob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např. drcením, mletím, čištěním, rozpouštěním + filtrací, krystalizací, plavením, magneticky, sušením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sz w:val="24"/>
          <w:szCs w:val="24"/>
        </w:rPr>
        <w:t>•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u w:val="single"/>
        </w:rPr>
        <w:t>chemické reakce, při kterých ze surovin vznikají žádané produkty</w:t>
      </w:r>
      <w:r>
        <w:rPr>
          <w:rFonts w:ascii="Cambria" w:hAnsi="Cambria"/>
          <w:sz w:val="24"/>
          <w:szCs w:val="24"/>
        </w:rPr>
        <w:t xml:space="preserve"> – přeměna surovin v produkty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>- většinou více reakcí, - meziprodukty</w:t>
      </w:r>
    </w:p>
    <w:p>
      <w:pPr>
        <w:pStyle w:val="Normal"/>
        <w:spacing w:lineRule="auto" w:line="240"/>
        <w:jc w:val="both"/>
        <w:rPr>
          <w:rFonts w:ascii="Cambria" w:hAnsi="Cambria"/>
          <w:i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- potřeba volit vhodné podmínky </w:t>
      </w:r>
      <w:r>
        <w:rPr>
          <w:rFonts w:cs="Times New Roman" w:ascii="Cambria" w:hAnsi="Cambria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kontinuální – nepřetržitý postup, - cirkulace reaktantů, - automatizace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sz w:val="24"/>
          <w:szCs w:val="24"/>
        </w:rPr>
        <w:t>•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u w:val="single"/>
        </w:rPr>
        <w:t>oddělení hlavních produktů výroby a jejich další zpracování</w:t>
      </w:r>
      <w:r>
        <w:rPr>
          <w:rFonts w:ascii="Cambria" w:hAnsi="Cambria"/>
          <w:sz w:val="24"/>
          <w:szCs w:val="24"/>
        </w:rPr>
        <w:t xml:space="preserve"> – uplatnění metod oddělování složek směsí</w:t>
      </w:r>
    </w:p>
    <w:p>
      <w:pPr>
        <w:pStyle w:val="Normal"/>
        <w:spacing w:lineRule="auto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pro hospodárnost využíváme i vedlejší produkty a odpadní látky</w:t>
      </w:r>
    </w:p>
    <w:p>
      <w:pPr>
        <w:pStyle w:val="Normal"/>
        <w:spacing w:lineRule="auto" w:line="240"/>
        <w:rPr>
          <w:rFonts w:ascii="Cambria" w:hAnsi="Cambria" w:eastAsia="Calibri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6FAFDEA5">
                <wp:simplePos x="0" y="0"/>
                <wp:positionH relativeFrom="column">
                  <wp:posOffset>665480</wp:posOffset>
                </wp:positionH>
                <wp:positionV relativeFrom="paragraph">
                  <wp:posOffset>276860</wp:posOffset>
                </wp:positionV>
                <wp:extent cx="715010" cy="1270"/>
                <wp:effectExtent l="0" t="76200" r="28575" b="114300"/>
                <wp:wrapNone/>
                <wp:docPr id="1" name="Přímá spojnice se šipkou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Přímá spojnice se šipkou 47" stroked="t" style="position:absolute;margin-left:52.4pt;margin-top:21.8pt;width:56.2pt;height:0pt" wp14:anchorId="6FAFDEA5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</w:r>
      <w:r>
        <w:rPr>
          <w:rFonts w:eastAsia="Calibri" w:cs="Times New Roman" w:ascii="Cambria" w:hAnsi="Cambria"/>
          <w:sz w:val="24"/>
          <w:szCs w:val="24"/>
        </w:rPr>
        <w:t xml:space="preserve">                     </w:t>
      </w:r>
      <w:r>
        <w:rPr>
          <w:rFonts w:eastAsia="Calibri" w:cs="Times New Roman" w:ascii="Cambria" w:hAnsi="Cambria"/>
          <w:sz w:val="24"/>
          <w:szCs w:val="24"/>
        </w:rPr>
        <w:t>suroviny</w:t>
      </w:r>
    </w:p>
    <w:p>
      <w:pPr>
        <w:pStyle w:val="Normal"/>
        <w:spacing w:lineRule="auto" w:line="240"/>
        <w:rPr>
          <w:rFonts w:ascii="Cambria" w:hAnsi="Cambria" w:eastAsia="Calibri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1DF6652A">
                <wp:simplePos x="0" y="0"/>
                <wp:positionH relativeFrom="column">
                  <wp:posOffset>633095</wp:posOffset>
                </wp:positionH>
                <wp:positionV relativeFrom="paragraph">
                  <wp:posOffset>154305</wp:posOffset>
                </wp:positionV>
                <wp:extent cx="715010" cy="1270"/>
                <wp:effectExtent l="38100" t="76200" r="0" b="114300"/>
                <wp:wrapNone/>
                <wp:docPr id="2" name="Přímá spojnice se šipkou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4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1" stroked="t" style="position:absolute;margin-left:49.85pt;margin-top:12.15pt;width:56.2pt;height:0pt;flip:x" wp14:anchorId="1DF6652A" type="shapetype_32">
                <w10:wrap type="none"/>
                <v:fill o:detectmouseclick="t" on="false"/>
                <v:stroke color="black" weight="6480" endarrow="block" endarrowwidth="medium" endarrowlength="medium" joinstyle="miter" endcap="flat"/>
              </v:shape>
            </w:pict>
          </mc:Fallback>
        </mc:AlternateContent>
      </w:r>
      <w:r>
        <w:rPr>
          <w:rFonts w:eastAsia="Calibri" w:cs="Times New Roman" w:ascii="Cambria" w:hAnsi="Cambria"/>
          <w:sz w:val="24"/>
          <w:szCs w:val="24"/>
        </w:rPr>
        <w:t>příroda</w:t>
        <w:tab/>
        <w:tab/>
        <w:t xml:space="preserve">    lidská společnost</w:t>
      </w:r>
    </w:p>
    <w:p>
      <w:pPr>
        <w:pStyle w:val="Normal"/>
        <w:spacing w:lineRule="auto" w:line="24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w:tab/>
        <w:t xml:space="preserve">          odpady</w:t>
      </w:r>
    </w:p>
    <w:p>
      <w:pPr>
        <w:pStyle w:val="Normal"/>
        <w:spacing w:lineRule="auto" w:line="24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w:t>- množství získávaných surovin stoupá → rychlé vyčerpání přírodních zdrojů</w:t>
      </w:r>
    </w:p>
    <w:p>
      <w:pPr>
        <w:pStyle w:val="Normal"/>
        <w:spacing w:lineRule="auto" w:line="240"/>
        <w:ind w:left="3540" w:hanging="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w:t xml:space="preserve">         → </w:t>
      </w:r>
      <w:r>
        <w:rPr>
          <w:rFonts w:eastAsia="Calibri" w:cs="Times New Roman" w:ascii="Cambria" w:hAnsi="Cambria"/>
          <w:sz w:val="24"/>
          <w:szCs w:val="24"/>
        </w:rPr>
        <w:t xml:space="preserve">užívání „chudších“ surovin (÷ 90 - 97% se vrací do přírody jako </w:t>
      </w:r>
    </w:p>
    <w:p>
      <w:pPr>
        <w:pStyle w:val="Normal"/>
        <w:spacing w:lineRule="auto" w:line="240"/>
        <w:ind w:left="3540" w:hanging="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w:t xml:space="preserve">              </w:t>
      </w:r>
      <w:r>
        <w:rPr>
          <w:rFonts w:eastAsia="Calibri" w:cs="Times New Roman" w:ascii="Cambria" w:hAnsi="Cambria"/>
          <w:sz w:val="24"/>
          <w:szCs w:val="24"/>
        </w:rPr>
        <w:t>odpad → znečištění vody, půdy, ovzduší, poškození zdraví)</w:t>
      </w:r>
    </w:p>
    <w:p>
      <w:pPr>
        <w:pStyle w:val="Normal"/>
        <w:spacing w:lineRule="auto" w:line="240"/>
        <w:ind w:left="3540" w:hanging="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</w:r>
    </w:p>
    <w:p>
      <w:pPr>
        <w:pStyle w:val="Normal"/>
        <w:spacing w:lineRule="auto" w:line="240"/>
        <w:ind w:left="3540" w:hanging="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mbria" w:hAnsi="Cambria"/>
          <w:b/>
          <w:b/>
          <w:sz w:val="24"/>
          <w:szCs w:val="24"/>
          <w:u w:val="double"/>
        </w:rPr>
      </w:pPr>
      <w:r>
        <w:rPr>
          <w:rFonts w:ascii="Cambria" w:hAnsi="Cambria"/>
          <w:b/>
          <w:sz w:val="24"/>
          <w:szCs w:val="24"/>
          <w:u w:val="double"/>
        </w:rPr>
        <w:t>Negativní účinky chemických látek</w:t>
      </w:r>
    </w:p>
    <w:p>
      <w:pPr>
        <w:pStyle w:val="Normal"/>
        <w:spacing w:lineRule="auto" w:line="2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- </w:t>
      </w:r>
      <w:r>
        <w:rPr>
          <w:rFonts w:ascii="Cambria" w:hAnsi="Cambria"/>
          <w:b/>
          <w:sz w:val="24"/>
          <w:szCs w:val="24"/>
        </w:rPr>
        <w:t>chemie</w:t>
      </w:r>
      <w:r>
        <w:rPr>
          <w:rFonts w:ascii="Cambria" w:hAnsi="Cambria"/>
          <w:bCs/>
          <w:sz w:val="24"/>
          <w:szCs w:val="24"/>
        </w:rPr>
        <w:t xml:space="preserve"> = běžná součást života </w:t>
      </w:r>
      <w:r>
        <w:rPr>
          <w:rFonts w:ascii="Century Gothic" w:hAnsi="Century Gothic"/>
          <w:bCs/>
          <w:sz w:val="24"/>
          <w:szCs w:val="24"/>
        </w:rPr>
        <w:t>→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  <w:u w:val="single"/>
        </w:rPr>
        <w:t>usnadňuje</w:t>
      </w:r>
      <w:r>
        <w:rPr>
          <w:rFonts w:ascii="Cambria" w:hAnsi="Cambria"/>
          <w:bCs/>
          <w:sz w:val="24"/>
          <w:szCs w:val="24"/>
        </w:rPr>
        <w:t xml:space="preserve"> ho</w:t>
      </w:r>
    </w:p>
    <w:p>
      <w:pPr>
        <w:pStyle w:val="Normal"/>
        <w:spacing w:lineRule="auto" w:line="2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  <w:tab/>
        <w:tab/>
        <w:tab/>
        <w:t xml:space="preserve">        </w:t>
      </w:r>
      <w:r>
        <w:rPr>
          <w:rFonts w:ascii="Century Gothic" w:hAnsi="Century Gothic"/>
          <w:bCs/>
          <w:sz w:val="24"/>
          <w:szCs w:val="24"/>
        </w:rPr>
        <w:t xml:space="preserve">→ </w:t>
      </w:r>
      <w:r>
        <w:rPr>
          <w:rFonts w:ascii="Cambria" w:hAnsi="Cambria"/>
          <w:bCs/>
          <w:sz w:val="24"/>
          <w:szCs w:val="24"/>
          <w:u w:val="single"/>
        </w:rPr>
        <w:t>rizika pro ŽP</w:t>
      </w:r>
      <w:r>
        <w:rPr>
          <w:rFonts w:ascii="Cambria" w:hAnsi="Cambria"/>
          <w:bCs/>
          <w:sz w:val="24"/>
          <w:szCs w:val="24"/>
        </w:rPr>
        <w:t xml:space="preserve"> i </w:t>
      </w:r>
      <w:r>
        <w:rPr>
          <w:rFonts w:ascii="Cambria" w:hAnsi="Cambria"/>
          <w:bCs/>
          <w:sz w:val="24"/>
          <w:szCs w:val="24"/>
          <w:u w:val="single"/>
        </w:rPr>
        <w:t>zdraví</w:t>
      </w:r>
    </w:p>
    <w:p>
      <w:pPr>
        <w:pStyle w:val="Normal"/>
        <w:spacing w:lineRule="auto" w:line="2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- </w:t>
      </w:r>
      <w:r>
        <w:rPr>
          <w:rFonts w:ascii="Cambria" w:hAnsi="Cambria"/>
          <w:bCs/>
          <w:sz w:val="24"/>
          <w:szCs w:val="24"/>
          <w:u w:val="single"/>
        </w:rPr>
        <w:t>mnoho látek uměle vyrobených</w:t>
      </w:r>
      <w:r>
        <w:rPr>
          <w:rFonts w:ascii="Cambria" w:hAnsi="Cambria"/>
          <w:bCs/>
          <w:sz w:val="24"/>
          <w:szCs w:val="24"/>
        </w:rPr>
        <w:t xml:space="preserve"> (pomáhají i škodí) </w:t>
      </w:r>
      <w:r>
        <w:rPr>
          <w:rFonts w:ascii="Century Gothic" w:hAnsi="Century Gothic"/>
          <w:bCs/>
          <w:sz w:val="24"/>
          <w:szCs w:val="24"/>
        </w:rPr>
        <w:t>→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/>
          <w:i/>
          <w:iCs/>
          <w:sz w:val="24"/>
          <w:szCs w:val="24"/>
        </w:rPr>
        <w:t>kontaminace prostředí cizorodými látkami</w:t>
      </w:r>
      <w:r>
        <w:rPr>
          <w:rFonts w:ascii="Cambria" w:hAnsi="Cambria"/>
          <w:bCs/>
          <w:sz w:val="24"/>
          <w:szCs w:val="24"/>
        </w:rPr>
        <w:t xml:space="preserve"> </w:t>
      </w:r>
    </w:p>
    <w:p>
      <w:pPr>
        <w:pStyle w:val="Normal"/>
        <w:spacing w:lineRule="auto" w:line="2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</w:t>
      </w:r>
      <w:r>
        <w:rPr>
          <w:rFonts w:ascii="Cambria" w:hAnsi="Cambria"/>
          <w:bCs/>
          <w:sz w:val="24"/>
          <w:szCs w:val="24"/>
        </w:rPr>
        <w:t xml:space="preserve">(následky: např. zvýšený výskyt vrozených vad, alergická a nádorová onemocnění, snižování plodnosti   </w:t>
      </w:r>
    </w:p>
    <w:p>
      <w:pPr>
        <w:pStyle w:val="Normal"/>
        <w:spacing w:lineRule="auto" w:line="2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</w:t>
      </w:r>
      <w:r>
        <w:rPr>
          <w:rFonts w:ascii="Cambria" w:hAnsi="Cambria"/>
          <w:bCs/>
          <w:sz w:val="24"/>
          <w:szCs w:val="24"/>
        </w:rPr>
        <w:t>mužů)</w:t>
      </w:r>
    </w:p>
    <w:p>
      <w:pPr>
        <w:pStyle w:val="Normal"/>
        <w:spacing w:lineRule="auto" w:line="2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- nutno </w:t>
      </w:r>
      <w:r>
        <w:rPr>
          <w:rFonts w:ascii="Cambria" w:hAnsi="Cambria"/>
          <w:bCs/>
          <w:sz w:val="24"/>
          <w:szCs w:val="24"/>
          <w:u w:val="single"/>
        </w:rPr>
        <w:t>řídit</w:t>
      </w:r>
      <w:r>
        <w:rPr>
          <w:rFonts w:ascii="Cambria" w:hAnsi="Cambria"/>
          <w:bCs/>
          <w:sz w:val="24"/>
          <w:szCs w:val="24"/>
        </w:rPr>
        <w:t xml:space="preserve"> jejich </w:t>
      </w:r>
      <w:r>
        <w:rPr>
          <w:rFonts w:ascii="Cambria" w:hAnsi="Cambria"/>
          <w:bCs/>
          <w:sz w:val="24"/>
          <w:szCs w:val="24"/>
          <w:u w:val="single"/>
        </w:rPr>
        <w:t>využití rozumem i zákony</w:t>
      </w:r>
      <w:r>
        <w:rPr>
          <w:rFonts w:ascii="Cambria" w:hAnsi="Cambria"/>
          <w:bCs/>
          <w:sz w:val="24"/>
          <w:szCs w:val="24"/>
        </w:rPr>
        <w:t xml:space="preserve"> – např. • podpora domácích výrobců (z okolí)</w:t>
      </w:r>
    </w:p>
    <w:p>
      <w:pPr>
        <w:pStyle w:val="Normal"/>
        <w:spacing w:lineRule="auto" w:line="2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        • </w:t>
      </w:r>
      <w:r>
        <w:rPr>
          <w:rFonts w:ascii="Cambria" w:hAnsi="Cambria"/>
          <w:bCs/>
          <w:sz w:val="24"/>
          <w:szCs w:val="24"/>
        </w:rPr>
        <w:t>nákup výrobků v ekologicky příznivých obalech</w:t>
      </w:r>
    </w:p>
    <w:p>
      <w:pPr>
        <w:pStyle w:val="Normal"/>
        <w:spacing w:lineRule="auto" w:line="2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        • </w:t>
      </w:r>
      <w:r>
        <w:rPr>
          <w:rFonts w:ascii="Cambria" w:hAnsi="Cambria"/>
          <w:bCs/>
          <w:sz w:val="24"/>
          <w:szCs w:val="24"/>
        </w:rPr>
        <w:t xml:space="preserve">všímat si složení   </w:t>
      </w:r>
    </w:p>
    <w:p>
      <w:pPr>
        <w:pStyle w:val="Normal"/>
        <w:spacing w:lineRule="auto" w:line="2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        • </w:t>
      </w:r>
      <w:r>
        <w:rPr>
          <w:rFonts w:ascii="Cambria" w:hAnsi="Cambria"/>
          <w:bCs/>
          <w:sz w:val="24"/>
          <w:szCs w:val="24"/>
        </w:rPr>
        <w:t>omezit používání „jednorázových“ plastů, …</w:t>
      </w:r>
    </w:p>
    <w:p>
      <w:pPr>
        <w:pStyle w:val="Normal"/>
        <w:spacing w:lineRule="auto" w:line="2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</w:r>
    </w:p>
    <w:p>
      <w:pPr>
        <w:pStyle w:val="Normal"/>
        <w:spacing w:lineRule="exact" w:line="240"/>
        <w:jc w:val="center"/>
        <w:rPr>
          <w:rFonts w:ascii="Cambria" w:hAnsi="Cambria" w:eastAsia="Calibri" w:cs="Times New Roman"/>
          <w:b/>
          <w:b/>
          <w:sz w:val="24"/>
          <w:szCs w:val="24"/>
          <w:u w:val="double"/>
        </w:rPr>
      </w:pPr>
      <w:r>
        <w:rPr>
          <w:rFonts w:eastAsia="Calibri" w:cs="Times New Roman" w:ascii="Cambria" w:hAnsi="Cambria"/>
          <w:b/>
          <w:sz w:val="24"/>
          <w:szCs w:val="24"/>
          <w:u w:val="double"/>
        </w:rPr>
        <w:t>Recyklace</w:t>
      </w:r>
    </w:p>
    <w:p>
      <w:pPr>
        <w:pStyle w:val="Normal"/>
        <w:spacing w:lineRule="exact" w:line="240"/>
        <w:jc w:val="center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3C09752C">
                <wp:simplePos x="0" y="0"/>
                <wp:positionH relativeFrom="margin">
                  <wp:posOffset>3203575</wp:posOffset>
                </wp:positionH>
                <wp:positionV relativeFrom="paragraph">
                  <wp:posOffset>13335</wp:posOffset>
                </wp:positionV>
                <wp:extent cx="387985" cy="233045"/>
                <wp:effectExtent l="0" t="0" r="12700" b="15240"/>
                <wp:wrapNone/>
                <wp:docPr id="3" name="Zahnutá šipka nahoru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7360" cy="232560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77933c"/>
                        </a:solidFill>
                        <a:ln w="25560">
                          <a:solidFill>
                            <a:srgbClr val="4f62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Zahnutá šipka nahoru 1" fillcolor="#77933c" stroked="t" style="position:absolute;margin-left:252.25pt;margin-top:1.05pt;width:30.45pt;height:18.25pt;flip:y;mso-position-horizontal-relative:margin" wp14:anchorId="3C09752C">
                <w10:wrap type="none"/>
                <v:fill o:detectmouseclick="t" type="solid" color2="#886cc3"/>
                <v:stroke color="#4f6228" weight="25560" joinstyle="round" endcap="flat"/>
              </v:rect>
            </w:pict>
          </mc:Fallback>
        </mc:AlternateContent>
      </w:r>
    </w:p>
    <w:p>
      <w:pPr>
        <w:pStyle w:val="Normal"/>
        <w:spacing w:lineRule="exact" w:line="24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43014A71">
                <wp:simplePos x="0" y="0"/>
                <wp:positionH relativeFrom="column">
                  <wp:posOffset>3435350</wp:posOffset>
                </wp:positionH>
                <wp:positionV relativeFrom="paragraph">
                  <wp:posOffset>121920</wp:posOffset>
                </wp:positionV>
                <wp:extent cx="387985" cy="233045"/>
                <wp:effectExtent l="58420" t="55880" r="33020" b="0"/>
                <wp:wrapNone/>
                <wp:docPr id="4" name="Zahnutá šipka nahoru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 rot="6768000">
                          <a:off x="0" y="0"/>
                          <a:ext cx="387360" cy="232560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77933c"/>
                        </a:solidFill>
                        <a:ln w="25560">
                          <a:solidFill>
                            <a:srgbClr val="4f62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Zahnutá šipka nahoru 3" fillcolor="#77933c" stroked="t" style="position:absolute;margin-left:270.5pt;margin-top:9.6pt;width:30.45pt;height:18.25pt;flip:y;rotation:113" wp14:anchorId="43014A71">
                <w10:wrap type="none"/>
                <v:fill o:detectmouseclick="t" type="solid" color2="#886cc3"/>
                <v:stroke color="#4f6228" weight="255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6" wp14:anchorId="3E4BF4C3">
                <wp:simplePos x="0" y="0"/>
                <wp:positionH relativeFrom="column">
                  <wp:posOffset>3009900</wp:posOffset>
                </wp:positionH>
                <wp:positionV relativeFrom="paragraph">
                  <wp:posOffset>126365</wp:posOffset>
                </wp:positionV>
                <wp:extent cx="387985" cy="233045"/>
                <wp:effectExtent l="20320" t="17780" r="109220" b="0"/>
                <wp:wrapNone/>
                <wp:docPr id="5" name="Zahnutá šipka nahoru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 rot="14410800">
                          <a:off x="0" y="0"/>
                          <a:ext cx="387360" cy="232560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77933c"/>
                        </a:solidFill>
                        <a:ln w="25560">
                          <a:solidFill>
                            <a:srgbClr val="4f62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Zahnutá šipka nahoru 4" fillcolor="#77933c" stroked="t" style="position:absolute;margin-left:237pt;margin-top:9.95pt;width:30.45pt;height:18.25pt;flip:y;rotation:240" wp14:anchorId="3E4BF4C3">
                <w10:wrap type="none"/>
                <v:fill o:detectmouseclick="t" type="solid" color2="#886cc3"/>
                <v:stroke color="#4f6228" weight="25560" joinstyle="round" endcap="flat"/>
              </v:rect>
            </w:pict>
          </mc:Fallback>
        </mc:AlternateContent>
      </w:r>
    </w:p>
    <w:p>
      <w:pPr>
        <w:pStyle w:val="Normal"/>
        <w:spacing w:lineRule="exact" w:line="24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w:t xml:space="preserve">- </w:t>
      </w:r>
      <w:r>
        <w:rPr>
          <w:rFonts w:eastAsia="Calibri" w:cs="Times New Roman" w:ascii="Cambria" w:hAnsi="Cambria"/>
          <w:sz w:val="24"/>
          <w:szCs w:val="24"/>
          <w:u w:val="single"/>
        </w:rPr>
        <w:t>opětovné</w:t>
      </w:r>
      <w:r>
        <w:rPr>
          <w:rFonts w:eastAsia="Calibri" w:cs="Times New Roman" w:ascii="Cambria" w:hAnsi="Cambria"/>
          <w:sz w:val="24"/>
          <w:szCs w:val="24"/>
        </w:rPr>
        <w:t xml:space="preserve"> cyklické </w:t>
      </w:r>
      <w:r>
        <w:rPr>
          <w:rFonts w:eastAsia="Calibri" w:cs="Times New Roman" w:ascii="Cambria" w:hAnsi="Cambria"/>
          <w:sz w:val="24"/>
          <w:szCs w:val="24"/>
          <w:u w:val="single"/>
        </w:rPr>
        <w:t>využití odpadů</w:t>
      </w:r>
      <w:r>
        <w:rPr>
          <w:rFonts w:eastAsia="Calibri" w:cs="Times New Roman" w:ascii="Cambria" w:hAnsi="Cambria"/>
          <w:sz w:val="24"/>
          <w:szCs w:val="24"/>
        </w:rPr>
        <w:t xml:space="preserve"> jako druhotné suroviny</w:t>
      </w:r>
    </w:p>
    <w:p>
      <w:pPr>
        <w:pStyle w:val="Normal"/>
        <w:spacing w:lineRule="auto" w:line="24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w:t xml:space="preserve">- </w:t>
      </w:r>
      <w:r>
        <w:rPr>
          <w:rFonts w:eastAsia="Calibri" w:cs="Times New Roman" w:ascii="Cambria" w:hAnsi="Cambria"/>
          <w:b/>
          <w:i/>
          <w:sz w:val="24"/>
          <w:szCs w:val="24"/>
        </w:rPr>
        <w:t>šetří zdroje</w:t>
      </w:r>
    </w:p>
    <w:p>
      <w:pPr>
        <w:pStyle w:val="Normal"/>
        <w:spacing w:lineRule="auto" w:line="24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w:t xml:space="preserve">- </w:t>
      </w:r>
      <w:r>
        <w:rPr>
          <w:rFonts w:eastAsia="Calibri" w:cs="Times New Roman" w:ascii="Cambria" w:hAnsi="Cambria"/>
          <w:b/>
          <w:i/>
          <w:sz w:val="24"/>
          <w:szCs w:val="24"/>
        </w:rPr>
        <w:t>snižuje zátěž ŽP</w:t>
      </w:r>
      <w:r>
        <w:rPr>
          <w:rFonts w:eastAsia="Calibri" w:cs="Times New Roman" w:ascii="Cambria" w:hAnsi="Cambria"/>
          <w:sz w:val="24"/>
          <w:szCs w:val="24"/>
        </w:rPr>
        <w:t xml:space="preserve"> – </w:t>
      </w:r>
      <w:r>
        <w:rPr>
          <w:rFonts w:eastAsia="Calibri" w:cs="Times New Roman" w:ascii="Cambria" w:hAnsi="Cambria"/>
          <w:sz w:val="24"/>
          <w:szCs w:val="24"/>
          <w:u w:val="single"/>
        </w:rPr>
        <w:t>využití</w:t>
      </w:r>
      <w:r>
        <w:rPr>
          <w:rFonts w:eastAsia="Calibri" w:cs="Times New Roman" w:ascii="Cambria" w:hAnsi="Cambria"/>
          <w:sz w:val="24"/>
          <w:szCs w:val="24"/>
        </w:rPr>
        <w:t xml:space="preserve"> odpadu </w:t>
      </w:r>
      <w:r>
        <w:rPr>
          <w:rFonts w:eastAsia="Calibri" w:cs="Times New Roman" w:ascii="Cambria" w:hAnsi="Cambria"/>
          <w:sz w:val="24"/>
          <w:szCs w:val="24"/>
          <w:u w:val="single"/>
        </w:rPr>
        <w:t>místo uložení na skládku</w:t>
      </w:r>
    </w:p>
    <w:p>
      <w:pPr>
        <w:pStyle w:val="Normal"/>
        <w:spacing w:lineRule="auto" w:line="24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w:t xml:space="preserve">- </w:t>
      </w:r>
      <w:r>
        <w:rPr>
          <w:rFonts w:eastAsia="Calibri" w:cs="Times New Roman" w:ascii="Cambria" w:hAnsi="Cambria"/>
          <w:sz w:val="24"/>
          <w:szCs w:val="24"/>
          <w:u w:val="single"/>
        </w:rPr>
        <w:t>dělení</w:t>
      </w:r>
      <w:r>
        <w:rPr>
          <w:rFonts w:eastAsia="Calibri" w:cs="Times New Roman" w:ascii="Cambria" w:hAnsi="Cambria"/>
          <w:sz w:val="24"/>
          <w:szCs w:val="24"/>
        </w:rPr>
        <w:t xml:space="preserve">: - </w:t>
      </w:r>
      <w:r>
        <w:rPr>
          <w:rFonts w:eastAsia="Calibri" w:cs="Times New Roman" w:ascii="Cambria" w:hAnsi="Cambria"/>
          <w:b/>
          <w:sz w:val="24"/>
          <w:szCs w:val="24"/>
        </w:rPr>
        <w:t>přímá</w:t>
      </w:r>
      <w:r>
        <w:rPr>
          <w:rFonts w:eastAsia="Calibri" w:cs="Times New Roman" w:ascii="Cambria" w:hAnsi="Cambria"/>
          <w:sz w:val="24"/>
          <w:szCs w:val="24"/>
        </w:rPr>
        <w:t xml:space="preserve"> – znovuvyužití věci bez další úpravy (př. využití automobilových součástek z vrakoviště)</w:t>
      </w:r>
    </w:p>
    <w:p>
      <w:pPr>
        <w:pStyle w:val="Normal"/>
        <w:spacing w:lineRule="auto" w:line="24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w:tab/>
        <w:t xml:space="preserve">- </w:t>
      </w:r>
      <w:r>
        <w:rPr>
          <w:rFonts w:eastAsia="Calibri" w:cs="Times New Roman" w:ascii="Cambria" w:hAnsi="Cambria"/>
          <w:b/>
          <w:sz w:val="24"/>
          <w:szCs w:val="24"/>
        </w:rPr>
        <w:t>nepřímá</w:t>
      </w:r>
      <w:r>
        <w:rPr>
          <w:rFonts w:eastAsia="Calibri" w:cs="Times New Roman" w:ascii="Cambria" w:hAnsi="Cambria"/>
          <w:sz w:val="24"/>
          <w:szCs w:val="24"/>
        </w:rPr>
        <w:t xml:space="preserve"> – znovuvyužití pomocí znovuzpracování materiálu z odpadu (starý papír → nový papír)</w:t>
      </w:r>
    </w:p>
    <w:p>
      <w:pPr>
        <w:pStyle w:val="Normal"/>
        <w:spacing w:lineRule="auto" w:line="240"/>
        <w:rPr>
          <w:rFonts w:ascii="Cambria" w:hAnsi="Cambria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w:t xml:space="preserve">- </w:t>
      </w:r>
      <w:r>
        <w:rPr>
          <w:rFonts w:eastAsia="Calibri" w:cs="Times New Roman" w:ascii="Cambria" w:hAnsi="Cambria"/>
          <w:sz w:val="24"/>
          <w:szCs w:val="24"/>
          <w:u w:val="single"/>
        </w:rPr>
        <w:t>recykluje se</w:t>
      </w:r>
      <w:r>
        <w:rPr>
          <w:rFonts w:eastAsia="Calibri" w:cs="Times New Roman" w:ascii="Cambria" w:hAnsi="Cambria"/>
          <w:sz w:val="24"/>
          <w:szCs w:val="24"/>
        </w:rPr>
        <w:t xml:space="preserve">: - </w:t>
      </w:r>
      <w:r>
        <w:rPr>
          <w:rFonts w:eastAsia="Calibri" w:cs="Times New Roman" w:ascii="Cambria" w:hAnsi="Cambria"/>
          <w:b/>
          <w:i/>
          <w:sz w:val="24"/>
          <w:szCs w:val="24"/>
        </w:rPr>
        <w:t xml:space="preserve">kovy (Fe, Al, Cu), - papír, </w:t>
        <w:tab/>
        <w:t xml:space="preserve">- sklo, </w:t>
        <w:tab/>
        <w:t xml:space="preserve">- textilie, - plasty, - bioodpad, - oleje, - tonery, </w:t>
      </w:r>
    </w:p>
    <w:p>
      <w:pPr>
        <w:pStyle w:val="Normal"/>
        <w:spacing w:lineRule="auto" w:line="240"/>
        <w:rPr>
          <w:rFonts w:ascii="Cambria" w:hAnsi="Cambria" w:eastAsia="Calibri" w:cs="Times New Roman"/>
          <w:b/>
          <w:b/>
          <w:i/>
          <w:i/>
          <w:sz w:val="24"/>
          <w:szCs w:val="24"/>
        </w:rPr>
      </w:pPr>
      <w:r>
        <w:rPr>
          <w:rFonts w:eastAsia="Calibri" w:cs="Times New Roman" w:ascii="Cambria" w:hAnsi="Cambria"/>
          <w:b/>
          <w:i/>
          <w:sz w:val="24"/>
          <w:szCs w:val="24"/>
        </w:rPr>
        <w:t xml:space="preserve">                          </w:t>
      </w:r>
      <w:r>
        <w:rPr>
          <w:rFonts w:eastAsia="Calibri" w:cs="Times New Roman" w:ascii="Cambria" w:hAnsi="Cambria"/>
          <w:b/>
          <w:i/>
          <w:sz w:val="24"/>
          <w:szCs w:val="24"/>
        </w:rPr>
        <w:t>- inkoustové cartridge, - světelné zdroje (zářivky, …)</w:t>
      </w:r>
    </w:p>
    <w:p>
      <w:pPr>
        <w:pStyle w:val="Normal"/>
        <w:spacing w:lineRule="auto" w:line="24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w:t xml:space="preserve">→ </w:t>
      </w:r>
      <w:r>
        <w:rPr>
          <w:rFonts w:eastAsia="Calibri" w:cs="Times New Roman" w:ascii="Cambria" w:hAnsi="Cambria"/>
          <w:b/>
          <w:sz w:val="24"/>
          <w:szCs w:val="24"/>
        </w:rPr>
        <w:t>nutná separace (vytřídění) odpadu</w:t>
      </w:r>
    </w:p>
    <w:p>
      <w:pPr>
        <w:pStyle w:val="Normal"/>
        <w:spacing w:lineRule="auto" w:line="24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b/>
          <w:sz w:val="24"/>
          <w:szCs w:val="24"/>
          <w:u w:val="single"/>
        </w:rPr>
        <w:t xml:space="preserve">downcycling </w:t>
      </w:r>
      <w:r>
        <w:rPr>
          <w:rFonts w:eastAsia="Calibri" w:cs="Times New Roman" w:ascii="Cambria" w:hAnsi="Cambria"/>
          <w:sz w:val="24"/>
          <w:szCs w:val="24"/>
        </w:rPr>
        <w:t xml:space="preserve">– opětovné zpracování materiálu či věcí není tak plnohodnotné (či nemá takovou znovu  </w:t>
      </w:r>
    </w:p>
    <w:p>
      <w:pPr>
        <w:pStyle w:val="Normal"/>
        <w:spacing w:lineRule="auto" w:line="24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  <w:t xml:space="preserve">                               </w:t>
      </w:r>
      <w:r>
        <w:rPr>
          <w:rFonts w:eastAsia="Calibri" w:cs="Times New Roman" w:ascii="Cambria" w:hAnsi="Cambria"/>
          <w:sz w:val="24"/>
          <w:szCs w:val="24"/>
        </w:rPr>
        <w:t>použitelnost) jako typická recyklace</w:t>
      </w:r>
    </w:p>
    <w:p>
      <w:pPr>
        <w:pStyle w:val="Normal"/>
        <w:spacing w:lineRule="auto" w:line="2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</w:r>
    </w:p>
    <w:p>
      <w:pPr>
        <w:pStyle w:val="Normal"/>
        <w:spacing w:lineRule="auto" w:line="240"/>
        <w:ind w:left="3540" w:hanging="0"/>
        <w:rPr>
          <w:rFonts w:ascii="Cambria" w:hAnsi="Cambria" w:eastAsia="Calibri" w:cs="Times New Roman"/>
          <w:sz w:val="24"/>
          <w:szCs w:val="24"/>
        </w:rPr>
      </w:pPr>
      <w:r>
        <w:rPr>
          <w:rFonts w:eastAsia="Calibri" w:cs="Times New Roman" w:ascii="Cambria" w:hAnsi="Cambria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entury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28b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1275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LibreOffice/5.4.4.2$Windows_X86_64 LibreOffice_project/2524958677847fb3bb44820e40380acbe820f960</Application>
  <Pages>2</Pages>
  <Words>343</Words>
  <Characters>1964</Characters>
  <CharactersWithSpaces>2754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2020-06-01T19:27:00Z</dcterms:created>
  <dc:creator>Věrka Věrka</dc:creator>
  <dc:description/>
  <dc:language>cs-CZ</dc:language>
  <cp:lastModifiedBy>Věrka Věrka</cp:lastModifiedBy>
  <dcterms:modified xsi:type="dcterms:W3CDTF">2020-06-01T20:07:00Z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