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C79" w:rsidRPr="00873C79" w:rsidRDefault="00873C79" w:rsidP="00873C79">
      <w:pPr>
        <w:jc w:val="center"/>
        <w:rPr>
          <w:b/>
          <w:sz w:val="26"/>
          <w:szCs w:val="26"/>
          <w:lang w:val="cs-CZ"/>
        </w:rPr>
      </w:pPr>
      <w:bookmarkStart w:id="0" w:name="_GoBack"/>
      <w:bookmarkEnd w:id="0"/>
      <w:r w:rsidRPr="00873C79">
        <w:rPr>
          <w:b/>
          <w:sz w:val="26"/>
          <w:szCs w:val="26"/>
          <w:lang w:val="cs-CZ"/>
        </w:rPr>
        <w:t>ANGLICKÝ JAZYK 6. A, B (Vallová)</w:t>
      </w:r>
    </w:p>
    <w:p w:rsidR="00873C79" w:rsidRDefault="00873C79" w:rsidP="00873C79">
      <w:pPr>
        <w:jc w:val="center"/>
        <w:rPr>
          <w:b/>
          <w:sz w:val="26"/>
          <w:szCs w:val="26"/>
          <w:lang w:val="cs-CZ"/>
        </w:rPr>
      </w:pPr>
      <w:r w:rsidRPr="00873C79">
        <w:rPr>
          <w:b/>
          <w:sz w:val="26"/>
          <w:szCs w:val="26"/>
          <w:lang w:val="cs-CZ"/>
        </w:rPr>
        <w:t>Úkoly na 1. – 5. 6.</w:t>
      </w:r>
    </w:p>
    <w:p w:rsidR="006965A6" w:rsidRPr="00873C79" w:rsidRDefault="006965A6" w:rsidP="00873C79">
      <w:pPr>
        <w:jc w:val="center"/>
        <w:rPr>
          <w:b/>
          <w:sz w:val="26"/>
          <w:szCs w:val="26"/>
          <w:lang w:val="cs-CZ"/>
        </w:rPr>
      </w:pPr>
    </w:p>
    <w:p w:rsidR="00873C79" w:rsidRDefault="00873C79" w:rsidP="00873C79"/>
    <w:p w:rsidR="00873C79" w:rsidRPr="00A14BEB" w:rsidRDefault="00873C79" w:rsidP="00873C79">
      <w:r w:rsidRPr="00A14BEB">
        <w:t xml:space="preserve">- online hodina konverzace: pondělí </w:t>
      </w:r>
      <w:r>
        <w:t>1. 6.</w:t>
      </w:r>
      <w:r w:rsidRPr="00A14BEB">
        <w:t xml:space="preserve"> od 11:00 hod.</w:t>
      </w:r>
    </w:p>
    <w:p w:rsidR="00D26709" w:rsidRDefault="00873C79" w:rsidP="00873C79">
      <w:r w:rsidRPr="00A14BEB">
        <w:t xml:space="preserve">- online hodina – společné vypracování úkolů: středa </w:t>
      </w:r>
      <w:r>
        <w:t>3. 6</w:t>
      </w:r>
      <w:r w:rsidRPr="00A14BEB">
        <w:t>. od 11:00 hod</w:t>
      </w:r>
    </w:p>
    <w:p w:rsidR="00873C79" w:rsidRDefault="00873C79" w:rsidP="00873C79"/>
    <w:p w:rsidR="00873C79" w:rsidRDefault="00873C79" w:rsidP="00873C79">
      <w:r>
        <w:t>Úkoly:</w:t>
      </w:r>
    </w:p>
    <w:p w:rsidR="00873C79" w:rsidRDefault="00873C79" w:rsidP="00873C79"/>
    <w:p w:rsidR="00873C79" w:rsidRDefault="00873C79" w:rsidP="00873C79">
      <w:r>
        <w:t xml:space="preserve">• online test na 2. a 3. stupeň přídavných jmen a </w:t>
      </w:r>
      <w:r w:rsidRPr="00873C79">
        <w:rPr>
          <w:i/>
        </w:rPr>
        <w:t>as...as</w:t>
      </w:r>
      <w:r>
        <w:t>:</w:t>
      </w:r>
    </w:p>
    <w:p w:rsidR="00873C79" w:rsidRDefault="00936CC0" w:rsidP="00873C79">
      <w:hyperlink r:id="rId4" w:history="1">
        <w:r w:rsidR="00FC32E1" w:rsidRPr="00634419">
          <w:rPr>
            <w:rStyle w:val="Hypertextovodkaz"/>
          </w:rPr>
          <w:t>https://forms.office.com/Pages/ResponsePage.aspx?id=lVDiSmIRyUmImL9hL0qFalr8J95rnrZCk824_iF2C6RUNVZFVEdHQkdNQUQ4QVlVVzVUVFBZRlpINy4u</w:t>
        </w:r>
      </w:hyperlink>
      <w:r w:rsidR="00FC32E1">
        <w:t xml:space="preserve"> </w:t>
      </w:r>
    </w:p>
    <w:p w:rsidR="00FC32E1" w:rsidRDefault="00FC32E1" w:rsidP="00873C79"/>
    <w:p w:rsidR="00873C79" w:rsidRDefault="00873C79" w:rsidP="00873C79">
      <w:r>
        <w:t>• začínáme lekci 6 – Entertainment:</w:t>
      </w:r>
    </w:p>
    <w:p w:rsidR="00873C79" w:rsidRDefault="00873C79" w:rsidP="00873C79"/>
    <w:p w:rsidR="00873C79" w:rsidRDefault="006965A6" w:rsidP="00873C79">
      <w:r>
        <w:t>1)</w:t>
      </w:r>
      <w:r w:rsidR="00873C79">
        <w:t xml:space="preserve"> uč. str. 68 / cv. 1 – přečíst a naučit se slovíčka</w:t>
      </w:r>
    </w:p>
    <w:p w:rsidR="00873C79" w:rsidRDefault="006965A6" w:rsidP="00873C79">
      <w:r>
        <w:t xml:space="preserve">2) </w:t>
      </w:r>
      <w:r w:rsidR="00873C79">
        <w:t>uč. str. 68/ cv. 2 – ústně si odpovědět</w:t>
      </w:r>
    </w:p>
    <w:p w:rsidR="00873C79" w:rsidRDefault="006965A6" w:rsidP="00873C79">
      <w:r>
        <w:t xml:space="preserve">3) </w:t>
      </w:r>
      <w:r w:rsidR="00873C79">
        <w:t>uč. str. 68/ cv. 3 – přečíst si rozhovor a ověřit si porozumění odpově</w:t>
      </w:r>
      <w:r w:rsidR="00BA67D9">
        <w:t>zením</w:t>
      </w:r>
      <w:r w:rsidR="00873C79">
        <w:t xml:space="preserve"> na otázky</w:t>
      </w:r>
    </w:p>
    <w:p w:rsidR="00873C79" w:rsidRDefault="006965A6" w:rsidP="00873C79">
      <w:r>
        <w:t xml:space="preserve">4) </w:t>
      </w:r>
      <w:r w:rsidR="00BA67D9">
        <w:t>zapsat či nalepit</w:t>
      </w:r>
      <w:r w:rsidR="00873C79">
        <w:t xml:space="preserve"> do sešitu</w:t>
      </w:r>
      <w:r w:rsidR="00BA67D9">
        <w:t xml:space="preserve"> a pročíst</w:t>
      </w:r>
      <w:r w:rsidR="00873C79">
        <w:t>:</w:t>
      </w:r>
    </w:p>
    <w:p w:rsidR="00873C79" w:rsidRDefault="00873C79" w:rsidP="00873C79">
      <w: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73C79" w:rsidTr="00BA67D9">
        <w:tc>
          <w:tcPr>
            <w:tcW w:w="9288" w:type="dxa"/>
          </w:tcPr>
          <w:p w:rsidR="004719A0" w:rsidRDefault="004719A0" w:rsidP="00873C79">
            <w:pPr>
              <w:jc w:val="center"/>
              <w:rPr>
                <w:b/>
                <w:u w:val="single"/>
              </w:rPr>
            </w:pPr>
          </w:p>
          <w:p w:rsidR="00873C79" w:rsidRPr="00873C79" w:rsidRDefault="004719A0" w:rsidP="00873C7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AM / IS / ARE</w:t>
            </w:r>
            <w:r w:rsidR="00873C79" w:rsidRPr="00873C79">
              <w:rPr>
                <w:b/>
                <w:u w:val="single"/>
              </w:rPr>
              <w:t xml:space="preserve"> GOING TO + infinitiv</w:t>
            </w:r>
          </w:p>
          <w:p w:rsidR="00873C79" w:rsidRDefault="00873C79" w:rsidP="00873C79">
            <w:r>
              <w:t>- tzv. plánovaná budoucnost</w:t>
            </w:r>
          </w:p>
          <w:p w:rsidR="00873C79" w:rsidRDefault="00873C79" w:rsidP="00873C79">
            <w:r>
              <w:t>- použiju, když mluvím o svých plánech do budoucna, o tom, co hodlám udělat</w:t>
            </w:r>
          </w:p>
          <w:p w:rsidR="004719A0" w:rsidRDefault="004719A0" w:rsidP="00873C79"/>
          <w:p w:rsidR="004719A0" w:rsidRDefault="004719A0" w:rsidP="00873C79">
            <w:r>
              <w:t xml:space="preserve">Př.    </w:t>
            </w:r>
            <w:r w:rsidRPr="004719A0">
              <w:rPr>
                <w:i/>
              </w:rPr>
              <w:t>I’</w:t>
            </w:r>
            <w:r w:rsidRPr="004719A0">
              <w:rPr>
                <w:i/>
                <w:color w:val="FF0000"/>
              </w:rPr>
              <w:t xml:space="preserve">m going to watch </w:t>
            </w:r>
            <w:r w:rsidRPr="004719A0">
              <w:rPr>
                <w:i/>
              </w:rPr>
              <w:t>TV this evening.</w:t>
            </w:r>
            <w:r>
              <w:t xml:space="preserve"> – Dnes večer se budu dívat na televizi.</w:t>
            </w:r>
          </w:p>
          <w:p w:rsidR="004719A0" w:rsidRDefault="004719A0" w:rsidP="00873C79">
            <w:r>
              <w:rPr>
                <w:i/>
              </w:rPr>
              <w:t xml:space="preserve">       </w:t>
            </w:r>
            <w:r w:rsidRPr="004719A0">
              <w:rPr>
                <w:i/>
              </w:rPr>
              <w:t>He’</w:t>
            </w:r>
            <w:r w:rsidRPr="004719A0">
              <w:rPr>
                <w:i/>
                <w:color w:val="FF0000"/>
              </w:rPr>
              <w:t xml:space="preserve">s going to </w:t>
            </w:r>
            <w:r>
              <w:rPr>
                <w:i/>
                <w:color w:val="FF0000"/>
              </w:rPr>
              <w:t>phone</w:t>
            </w:r>
            <w:r w:rsidRPr="004719A0">
              <w:rPr>
                <w:i/>
                <w:color w:val="FF0000"/>
              </w:rPr>
              <w:t xml:space="preserve"> </w:t>
            </w:r>
            <w:r w:rsidRPr="004719A0">
              <w:rPr>
                <w:i/>
              </w:rPr>
              <w:t>him tomorrow.</w:t>
            </w:r>
            <w:r>
              <w:t xml:space="preserve"> – Zítra mu zavolá.</w:t>
            </w:r>
          </w:p>
          <w:p w:rsidR="004719A0" w:rsidRDefault="004719A0" w:rsidP="00873C79"/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666"/>
              <w:gridCol w:w="747"/>
              <w:gridCol w:w="954"/>
              <w:gridCol w:w="747"/>
              <w:gridCol w:w="387"/>
              <w:gridCol w:w="747"/>
              <w:gridCol w:w="387"/>
              <w:gridCol w:w="3402"/>
            </w:tblGrid>
            <w:tr w:rsidR="004719A0" w:rsidTr="00BA67D9">
              <w:tc>
                <w:tcPr>
                  <w:tcW w:w="666" w:type="dxa"/>
                  <w:vMerge w:val="restart"/>
                </w:tcPr>
                <w:p w:rsidR="004719A0" w:rsidRPr="004719A0" w:rsidRDefault="004719A0" w:rsidP="004719A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noProof/>
                      <w:sz w:val="30"/>
                      <w:szCs w:val="30"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27A6695" wp14:editId="5CBE5A16">
                            <wp:simplePos x="0" y="0"/>
                            <wp:positionH relativeFrom="column">
                              <wp:posOffset>-47625</wp:posOffset>
                            </wp:positionH>
                            <wp:positionV relativeFrom="paragraph">
                              <wp:posOffset>430530</wp:posOffset>
                            </wp:positionV>
                            <wp:extent cx="276225" cy="266700"/>
                            <wp:effectExtent l="0" t="0" r="9525" b="0"/>
                            <wp:wrapNone/>
                            <wp:docPr id="2" name="Minus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6225" cy="266700"/>
                                    </a:xfrm>
                                    <a:prstGeom prst="mathMinus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041CA77" id="Minus 2" o:spid="_x0000_s1026" style="position:absolute;margin-left:-3.75pt;margin-top:33.9pt;width:21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" path="m36614,101986r202997,l239611,164714r-202997,l36614,101986xe" fillcolor="#4f81bd [3204]" strokecolor="#243f60 [1604]" strokeweight="2pt">
                            <v:path arrowok="t" o:connecttype="custom" o:connectlocs="36614,101986;239611,101986;239611,164714;36614,164714;36614,101986" o:connectangles="0,0,0,0,0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30"/>
                      <w:szCs w:val="30"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D92F6DB" wp14:editId="5A14E282">
                            <wp:simplePos x="0" y="0"/>
                            <wp:positionH relativeFrom="column">
                              <wp:posOffset>-47625</wp:posOffset>
                            </wp:positionH>
                            <wp:positionV relativeFrom="paragraph">
                              <wp:posOffset>182880</wp:posOffset>
                            </wp:positionV>
                            <wp:extent cx="285750" cy="247650"/>
                            <wp:effectExtent l="0" t="0" r="0" b="0"/>
                            <wp:wrapNone/>
                            <wp:docPr id="1" name="Plus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5750" cy="247650"/>
                                    </a:xfrm>
                                    <a:prstGeom prst="mathPlus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7BE3A33" id="Plus 1" o:spid="_x0000_s1026" style="position:absolute;margin-left:-3.75pt;margin-top:14.4pt;width:22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" path="m37876,94701r75875,l113751,32826r58248,l171999,94701r75875,l247874,152949r-75875,l171999,214824r-58248,l113751,152949r-75875,l37876,94701xe" fillcolor="#4f81bd [3204]" strokecolor="#243f60 [1604]" strokeweight="2pt">
                            <v:path arrowok="t" o:connecttype="custom" o:connectlocs="37876,94701;113751,94701;113751,32826;171999,32826;171999,94701;247874,94701;247874,152949;171999,152949;171999,214824;113751,214824;113751,152949;37876,152949;37876,94701" o:connectangles="0,0,0,0,0,0,0,0,0,0,0,0,0"/>
                          </v:shape>
                        </w:pict>
                      </mc:Fallback>
                    </mc:AlternateContent>
                  </w:r>
                  <w:r w:rsidRPr="004719A0">
                    <w:rPr>
                      <w:sz w:val="30"/>
                      <w:szCs w:val="30"/>
                    </w:rPr>
                    <w:t xml:space="preserve"> 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4719A0" w:rsidRDefault="004719A0" w:rsidP="004719A0">
                  <w:r>
                    <w:t>I</w:t>
                  </w:r>
                </w:p>
              </w:tc>
              <w:tc>
                <w:tcPr>
                  <w:tcW w:w="1134" w:type="dxa"/>
                  <w:gridSpan w:val="2"/>
                </w:tcPr>
                <w:p w:rsidR="004719A0" w:rsidRDefault="004719A0" w:rsidP="00873C79">
                  <w:r>
                    <w:t>‘m (am)</w:t>
                  </w:r>
                </w:p>
                <w:p w:rsidR="004719A0" w:rsidRDefault="004719A0" w:rsidP="00873C79">
                  <w:r>
                    <w:t>‘m not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vAlign w:val="center"/>
                </w:tcPr>
                <w:p w:rsidR="004719A0" w:rsidRDefault="004719A0" w:rsidP="004719A0">
                  <w:r>
                    <w:t>going to</w:t>
                  </w:r>
                </w:p>
              </w:tc>
              <w:tc>
                <w:tcPr>
                  <w:tcW w:w="3402" w:type="dxa"/>
                </w:tcPr>
                <w:p w:rsidR="004719A0" w:rsidRDefault="004719A0" w:rsidP="00873C79">
                  <w:r>
                    <w:t>watch TV this evening.</w:t>
                  </w:r>
                </w:p>
              </w:tc>
            </w:tr>
            <w:tr w:rsidR="004719A0" w:rsidTr="00BA67D9">
              <w:tc>
                <w:tcPr>
                  <w:tcW w:w="666" w:type="dxa"/>
                  <w:vMerge/>
                </w:tcPr>
                <w:p w:rsidR="004719A0" w:rsidRDefault="004719A0" w:rsidP="00873C79"/>
              </w:tc>
              <w:tc>
                <w:tcPr>
                  <w:tcW w:w="1701" w:type="dxa"/>
                  <w:gridSpan w:val="2"/>
                  <w:vAlign w:val="center"/>
                </w:tcPr>
                <w:p w:rsidR="004719A0" w:rsidRDefault="004719A0" w:rsidP="004719A0">
                  <w:r>
                    <w:t>he / she / it</w:t>
                  </w:r>
                </w:p>
              </w:tc>
              <w:tc>
                <w:tcPr>
                  <w:tcW w:w="1134" w:type="dxa"/>
                  <w:gridSpan w:val="2"/>
                </w:tcPr>
                <w:p w:rsidR="004719A0" w:rsidRDefault="004719A0" w:rsidP="00873C79">
                  <w:r>
                    <w:t>‘s (is)</w:t>
                  </w:r>
                </w:p>
                <w:p w:rsidR="004719A0" w:rsidRDefault="004719A0" w:rsidP="00873C79">
                  <w:r>
                    <w:t>isn’t</w:t>
                  </w:r>
                </w:p>
              </w:tc>
              <w:tc>
                <w:tcPr>
                  <w:tcW w:w="1134" w:type="dxa"/>
                  <w:gridSpan w:val="2"/>
                  <w:vMerge/>
                </w:tcPr>
                <w:p w:rsidR="004719A0" w:rsidRDefault="004719A0" w:rsidP="00873C79"/>
              </w:tc>
              <w:tc>
                <w:tcPr>
                  <w:tcW w:w="3402" w:type="dxa"/>
                </w:tcPr>
                <w:p w:rsidR="004719A0" w:rsidRDefault="004719A0" w:rsidP="00873C79">
                  <w:r>
                    <w:t>revise for the test.</w:t>
                  </w:r>
                </w:p>
              </w:tc>
            </w:tr>
            <w:tr w:rsidR="004719A0" w:rsidTr="00BA67D9">
              <w:tc>
                <w:tcPr>
                  <w:tcW w:w="666" w:type="dxa"/>
                  <w:vMerge/>
                </w:tcPr>
                <w:p w:rsidR="004719A0" w:rsidRDefault="004719A0" w:rsidP="00873C79"/>
              </w:tc>
              <w:tc>
                <w:tcPr>
                  <w:tcW w:w="1701" w:type="dxa"/>
                  <w:gridSpan w:val="2"/>
                  <w:vAlign w:val="center"/>
                </w:tcPr>
                <w:p w:rsidR="004719A0" w:rsidRDefault="004719A0" w:rsidP="004719A0">
                  <w:r>
                    <w:t>we / you / they</w:t>
                  </w:r>
                </w:p>
              </w:tc>
              <w:tc>
                <w:tcPr>
                  <w:tcW w:w="1134" w:type="dxa"/>
                  <w:gridSpan w:val="2"/>
                </w:tcPr>
                <w:p w:rsidR="004719A0" w:rsidRDefault="004719A0" w:rsidP="00873C79">
                  <w:r>
                    <w:t>‘re (are)</w:t>
                  </w:r>
                </w:p>
                <w:p w:rsidR="004719A0" w:rsidRDefault="004719A0" w:rsidP="00873C79">
                  <w:r>
                    <w:t>aren’t</w:t>
                  </w:r>
                </w:p>
              </w:tc>
              <w:tc>
                <w:tcPr>
                  <w:tcW w:w="1134" w:type="dxa"/>
                  <w:gridSpan w:val="2"/>
                  <w:vMerge/>
                </w:tcPr>
                <w:p w:rsidR="004719A0" w:rsidRDefault="004719A0" w:rsidP="00873C79"/>
              </w:tc>
              <w:tc>
                <w:tcPr>
                  <w:tcW w:w="3402" w:type="dxa"/>
                </w:tcPr>
                <w:p w:rsidR="004719A0" w:rsidRDefault="004719A0" w:rsidP="00873C79">
                  <w:r>
                    <w:t>be at home on Monday.</w:t>
                  </w:r>
                </w:p>
              </w:tc>
            </w:tr>
            <w:tr w:rsidR="00BA67D9" w:rsidTr="00BA67D9">
              <w:tc>
                <w:tcPr>
                  <w:tcW w:w="8037" w:type="dxa"/>
                  <w:gridSpan w:val="8"/>
                  <w:shd w:val="clear" w:color="auto" w:fill="95B3D7" w:themeFill="accent1" w:themeFillTint="99"/>
                </w:tcPr>
                <w:p w:rsidR="00BA67D9" w:rsidRDefault="00BA67D9" w:rsidP="00873C79"/>
              </w:tc>
            </w:tr>
            <w:tr w:rsidR="00BA67D9" w:rsidTr="00BA67D9">
              <w:trPr>
                <w:trHeight w:val="566"/>
              </w:trPr>
              <w:tc>
                <w:tcPr>
                  <w:tcW w:w="666" w:type="dxa"/>
                  <w:vMerge w:val="restart"/>
                </w:tcPr>
                <w:p w:rsidR="00BA67D9" w:rsidRDefault="00BA67D9" w:rsidP="00873C79">
                  <w:r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5408" behindDoc="1" locked="0" layoutInCell="1" allowOverlap="1" wp14:anchorId="6E4282D8" wp14:editId="08A28EB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152400</wp:posOffset>
                        </wp:positionV>
                        <wp:extent cx="279400" cy="381000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20520"/>
                            <wp:lineTo x="20618" y="20520"/>
                            <wp:lineTo x="20618" y="0"/>
                            <wp:lineTo x="0" y="0"/>
                          </wp:wrapPolygon>
                        </wp:wrapTight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9400" cy="381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47" w:type="dxa"/>
                  <w:vAlign w:val="center"/>
                </w:tcPr>
                <w:p w:rsidR="00BA67D9" w:rsidRDefault="00BA67D9" w:rsidP="004719A0">
                  <w:r>
                    <w:t>Are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BA67D9" w:rsidRDefault="00BA67D9" w:rsidP="00BA67D9">
                  <w:r>
                    <w:t>we/ you / they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vAlign w:val="center"/>
                </w:tcPr>
                <w:p w:rsidR="00BA67D9" w:rsidRDefault="00BA67D9" w:rsidP="00BA67D9">
                  <w:r>
                    <w:t>going to</w:t>
                  </w:r>
                </w:p>
              </w:tc>
              <w:tc>
                <w:tcPr>
                  <w:tcW w:w="3789" w:type="dxa"/>
                  <w:gridSpan w:val="2"/>
                  <w:vAlign w:val="center"/>
                </w:tcPr>
                <w:p w:rsidR="00BA67D9" w:rsidRDefault="00BA67D9" w:rsidP="00BA67D9">
                  <w:r>
                    <w:t>watch TV?</w:t>
                  </w:r>
                </w:p>
              </w:tc>
            </w:tr>
            <w:tr w:rsidR="00BA67D9" w:rsidTr="00BA67D9">
              <w:trPr>
                <w:trHeight w:val="569"/>
              </w:trPr>
              <w:tc>
                <w:tcPr>
                  <w:tcW w:w="666" w:type="dxa"/>
                  <w:vMerge/>
                </w:tcPr>
                <w:p w:rsidR="00BA67D9" w:rsidRDefault="00BA67D9" w:rsidP="00873C79"/>
              </w:tc>
              <w:tc>
                <w:tcPr>
                  <w:tcW w:w="747" w:type="dxa"/>
                  <w:vAlign w:val="center"/>
                </w:tcPr>
                <w:p w:rsidR="00BA67D9" w:rsidRDefault="00BA67D9" w:rsidP="004719A0">
                  <w:r>
                    <w:t>Is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BA67D9" w:rsidRDefault="00BA67D9" w:rsidP="00BA67D9">
                  <w:r>
                    <w:t>he / she / it</w:t>
                  </w:r>
                </w:p>
              </w:tc>
              <w:tc>
                <w:tcPr>
                  <w:tcW w:w="1134" w:type="dxa"/>
                  <w:gridSpan w:val="2"/>
                  <w:vMerge/>
                </w:tcPr>
                <w:p w:rsidR="00BA67D9" w:rsidRDefault="00BA67D9" w:rsidP="00873C79"/>
              </w:tc>
              <w:tc>
                <w:tcPr>
                  <w:tcW w:w="3789" w:type="dxa"/>
                  <w:gridSpan w:val="2"/>
                  <w:vAlign w:val="center"/>
                </w:tcPr>
                <w:p w:rsidR="00BA67D9" w:rsidRDefault="00BA67D9" w:rsidP="00BA67D9">
                  <w:r>
                    <w:t>revise for the test?</w:t>
                  </w:r>
                </w:p>
              </w:tc>
            </w:tr>
          </w:tbl>
          <w:p w:rsidR="004719A0" w:rsidRDefault="004719A0" w:rsidP="00873C79"/>
          <w:p w:rsidR="004719A0" w:rsidRDefault="004719A0" w:rsidP="00873C79"/>
        </w:tc>
      </w:tr>
    </w:tbl>
    <w:p w:rsidR="00BA67D9" w:rsidRPr="00873C79" w:rsidRDefault="006965A6" w:rsidP="00873C79">
      <w:r>
        <w:t xml:space="preserve">5) </w:t>
      </w:r>
      <w:r w:rsidR="00BA67D9">
        <w:t xml:space="preserve">učebnice str. 69 </w:t>
      </w:r>
      <w:r w:rsidR="00BA67D9">
        <w:tab/>
        <w:t>– cv. 4 b -  do sešitu podle rozhovoru ve cv. 3 doplnit tvary</w:t>
      </w:r>
    </w:p>
    <w:p w:rsidR="00873C79" w:rsidRDefault="00591443" w:rsidP="00873C79">
      <w:r>
        <w:tab/>
      </w:r>
      <w:r>
        <w:tab/>
      </w:r>
      <w:r>
        <w:tab/>
      </w:r>
      <w:r w:rsidR="00BA67D9">
        <w:t>- cv. 4 c – do sešitu převést věty ze 4 b do záporu</w:t>
      </w:r>
    </w:p>
    <w:p w:rsidR="00BA67D9" w:rsidRDefault="006965A6" w:rsidP="00873C79">
      <w:r>
        <w:t xml:space="preserve">6) </w:t>
      </w:r>
      <w:r w:rsidR="00BA67D9">
        <w:t>pracovní sešit str. 54/ cv. 1, 2, 3</w:t>
      </w:r>
    </w:p>
    <w:p w:rsidR="00BA67D9" w:rsidRDefault="006965A6" w:rsidP="00873C79">
      <w:r>
        <w:t>7)</w:t>
      </w:r>
      <w:r w:rsidR="00BA67D9">
        <w:t xml:space="preserve"> pracovní sešit str.</w:t>
      </w:r>
      <w:r>
        <w:t xml:space="preserve"> 55/ cv. 4, 5</w:t>
      </w:r>
    </w:p>
    <w:p w:rsidR="006965A6" w:rsidRDefault="006965A6" w:rsidP="00873C79"/>
    <w:p w:rsidR="006965A6" w:rsidRDefault="006965A6" w:rsidP="00873C79">
      <w:r>
        <w:t xml:space="preserve">8) pokud plánované budoucnosti nerozumíte, podívejte se na video: </w:t>
      </w:r>
      <w:hyperlink r:id="rId6" w:history="1">
        <w:r w:rsidRPr="00634419">
          <w:rPr>
            <w:rStyle w:val="Hypertextovodkaz"/>
          </w:rPr>
          <w:t>https://www.youtube.com/watch?v=K9pSTzFHPDQ</w:t>
        </w:r>
      </w:hyperlink>
      <w:r>
        <w:t xml:space="preserve"> </w:t>
      </w:r>
    </w:p>
    <w:p w:rsidR="00591443" w:rsidRDefault="00591443" w:rsidP="00873C79"/>
    <w:p w:rsidR="006965A6" w:rsidRDefault="006965A6" w:rsidP="00873C79">
      <w:r>
        <w:t>- případné dotazy a nejasnosti probereme na online hodině ve středu</w:t>
      </w:r>
    </w:p>
    <w:sectPr w:rsidR="00696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C79"/>
    <w:rsid w:val="004719A0"/>
    <w:rsid w:val="00591443"/>
    <w:rsid w:val="006965A6"/>
    <w:rsid w:val="00873C79"/>
    <w:rsid w:val="00936CC0"/>
    <w:rsid w:val="00BA67D9"/>
    <w:rsid w:val="00D26709"/>
    <w:rsid w:val="00FC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3A9D3-5331-4B64-ADDB-CE70D098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7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7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19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9A0"/>
    <w:rPr>
      <w:rFonts w:ascii="Tahoma" w:eastAsia="Times New Roman" w:hAnsi="Tahoma" w:cs="Tahoma"/>
      <w:sz w:val="16"/>
      <w:szCs w:val="16"/>
      <w:lang w:val="pt-PT" w:eastAsia="pt-PT"/>
    </w:rPr>
  </w:style>
  <w:style w:type="character" w:styleId="Hypertextovodkaz">
    <w:name w:val="Hyperlink"/>
    <w:basedOn w:val="Standardnpsmoodstavce"/>
    <w:uiPriority w:val="99"/>
    <w:unhideWhenUsed/>
    <w:rsid w:val="006965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9pSTzFHPDQ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forms.office.com/Pages/ResponsePage.aspx?id=lVDiSmIRyUmImL9hL0qFalr8J95rnrZCk824_iF2C6RUNVZFVEdHQkdNQUQ4QVlVVzVUVFBZRlpINy4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Vávrová</dc:creator>
  <cp:lastModifiedBy>havlova93@seznam.cz</cp:lastModifiedBy>
  <cp:revision>2</cp:revision>
  <dcterms:created xsi:type="dcterms:W3CDTF">2020-05-26T06:23:00Z</dcterms:created>
  <dcterms:modified xsi:type="dcterms:W3CDTF">2020-05-26T06:23:00Z</dcterms:modified>
</cp:coreProperties>
</file>